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c8ff" w14:textId="ccac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2022 жылғы 14 қаңтардағы № 11/69 "2022 - 2024 жылдарға арналған аудандық маңызы бар қаланың, ауылдардың,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2022 жылғы 8 желтоқсандағы № 20/125 шешімі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аудандық маңызы бар қаланың, ауылдардың, ауылдық округтің бюджеттері туралы" Түпқараған аудандық мәслихатының 2022 жылғы 14 қаңтардағы </w:t>
      </w:r>
      <w:r>
        <w:rPr>
          <w:rFonts w:ascii="Times New Roman"/>
          <w:b w:val="false"/>
          <w:i w:val="false"/>
          <w:color w:val="000000"/>
          <w:sz w:val="28"/>
        </w:rPr>
        <w:t>№11/69</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2022-2024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2022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1 141 826,6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210 359,8 мың теңге;</w:t>
      </w:r>
    </w:p>
    <w:bookmarkEnd w:id="4"/>
    <w:bookmarkStart w:name="z7" w:id="5"/>
    <w:p>
      <w:pPr>
        <w:spacing w:after="0"/>
        <w:ind w:left="0"/>
        <w:jc w:val="both"/>
      </w:pPr>
      <w:r>
        <w:rPr>
          <w:rFonts w:ascii="Times New Roman"/>
          <w:b w:val="false"/>
          <w:i w:val="false"/>
          <w:color w:val="000000"/>
          <w:sz w:val="28"/>
        </w:rPr>
        <w:t>
      салықтық емес түсімдер – 87,5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4 468,8 мың теңге;</w:t>
      </w:r>
    </w:p>
    <w:bookmarkEnd w:id="6"/>
    <w:bookmarkStart w:name="z9" w:id="7"/>
    <w:p>
      <w:pPr>
        <w:spacing w:after="0"/>
        <w:ind w:left="0"/>
        <w:jc w:val="both"/>
      </w:pPr>
      <w:r>
        <w:rPr>
          <w:rFonts w:ascii="Times New Roman"/>
          <w:b w:val="false"/>
          <w:i w:val="false"/>
          <w:color w:val="000000"/>
          <w:sz w:val="28"/>
        </w:rPr>
        <w:t>
      трансферттер түсімдері – 926 910,5 мың теңге;</w:t>
      </w:r>
    </w:p>
    <w:bookmarkEnd w:id="7"/>
    <w:bookmarkStart w:name="z10" w:id="8"/>
    <w:p>
      <w:pPr>
        <w:spacing w:after="0"/>
        <w:ind w:left="0"/>
        <w:jc w:val="both"/>
      </w:pPr>
      <w:r>
        <w:rPr>
          <w:rFonts w:ascii="Times New Roman"/>
          <w:b w:val="false"/>
          <w:i w:val="false"/>
          <w:color w:val="000000"/>
          <w:sz w:val="28"/>
        </w:rPr>
        <w:t>
      2) шығындар – 1 158 815,6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xml:space="preserve">
      бюджеттік кредиттер – 0 теңге; </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- 16 989,0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16 989,0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16 989,0 мың теңге.";</w:t>
      </w:r>
    </w:p>
    <w:bookmarkEnd w:id="19"/>
    <w:bookmarkStart w:name="z22"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2022 жылға арналған Ақшұқыр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1" w:id="23"/>
    <w:p>
      <w:pPr>
        <w:spacing w:after="0"/>
        <w:ind w:left="0"/>
        <w:jc w:val="left"/>
      </w:pPr>
      <w:r>
        <w:rPr>
          <w:rFonts w:ascii="Times New Roman"/>
          <w:b/>
          <w:i w:val="false"/>
          <w:color w:val="000000"/>
        </w:rPr>
        <w:t xml:space="preserve"> 2022 жылға арналған Баутин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0" w:id="24"/>
    <w:p>
      <w:pPr>
        <w:spacing w:after="0"/>
        <w:ind w:left="0"/>
        <w:jc w:val="left"/>
      </w:pPr>
      <w:r>
        <w:rPr>
          <w:rFonts w:ascii="Times New Roman"/>
          <w:b/>
          <w:i w:val="false"/>
          <w:color w:val="000000"/>
        </w:rPr>
        <w:t xml:space="preserve"> 2022 жылға арналған Қызылөзен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59" w:id="25"/>
    <w:p>
      <w:pPr>
        <w:spacing w:after="0"/>
        <w:ind w:left="0"/>
        <w:jc w:val="left"/>
      </w:pPr>
      <w:r>
        <w:rPr>
          <w:rFonts w:ascii="Times New Roman"/>
          <w:b/>
          <w:i w:val="false"/>
          <w:color w:val="000000"/>
        </w:rPr>
        <w:t xml:space="preserve"> 2022 жылға арналған Сайын Шапағатов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2 076,0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8" w:id="26"/>
    <w:p>
      <w:pPr>
        <w:spacing w:after="0"/>
        <w:ind w:left="0"/>
        <w:jc w:val="left"/>
      </w:pPr>
      <w:r>
        <w:rPr>
          <w:rFonts w:ascii="Times New Roman"/>
          <w:b/>
          <w:i w:val="false"/>
          <w:color w:val="000000"/>
        </w:rPr>
        <w:t xml:space="preserve"> 2022 жылға арналған Таушық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7" w:id="27"/>
    <w:p>
      <w:pPr>
        <w:spacing w:after="0"/>
        <w:ind w:left="0"/>
        <w:jc w:val="left"/>
      </w:pPr>
      <w:r>
        <w:rPr>
          <w:rFonts w:ascii="Times New Roman"/>
          <w:b/>
          <w:i w:val="false"/>
          <w:color w:val="000000"/>
        </w:rPr>
        <w:t xml:space="preserve"> 2022 жылға арналған Форт-Шевченко қаласының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xml:space="preserve">
налдық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