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0825" w14:textId="d6f0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Көктау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147 шешімі. Жойылды - Қостанай облысы Арқалық қаласы мәслихатының 2023 жылғы 5 қазандағы № 48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Арқалық қаласы Көктау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Көктау ауылының жергілікті қоғамдастық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Арқалық қаласы Көктау ауылының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Арқалық қаласы Көктау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Көктау ауылы тұрғындарының жергілікті қоғамдастығының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Көктау ауылы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Көктау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Көктау ауылының аумағы учаскелерге (көшелерге)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Көктау ауылының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Көктау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Көктау ауылы шегінде бөлек жергілікті қоғамдастық жиынын өткізуді ауыл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 жиынының ашылуы алдында Көктау ауылының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Көктау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Көктау ауылының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Көктау ауылы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Көктау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Көктау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Арқалық қаласы Көктау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Казахстана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