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2e1c" w14:textId="3ce2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Перелески ауылы әкімінің 2022 жылғы 12 мамырдағы № 3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ШЕШТІМ:</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облысы Денисов ауданы Перелески ауылының аумағында орналасқан жалпы алаңы 3,85 гектар жер учаскесінде инженерлік желілерді төсеу және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"Перелески ауылының әкімі"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Шулика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