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569d" w14:textId="d805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29 тамыздағы№ 152/21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Қоянды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Қоянды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152/21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Қоянды ауылдық округінің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Қоянды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Қоянды ауылдық округінің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Қоянды ауылдық округінің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Қоянды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Қоянды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Қоянды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Қоянды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Қоянды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Қоянды ауылдық округі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