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fa5a" w14:textId="51df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155/21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Солнечный поселкесінің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Солнечный поселкесінің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155/21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Солнечный поселкесінің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Солнечный поселкесінің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Солнечный поселкесінің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Солнечный поселкесінің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Солнечный поселкесінің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Солнечный поселкесінің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Көше шегінде бөлек жергілікті қоғамдастық жиынын өткізуді Солнечный поселкесінің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Солнечный поселкесінің әкімі немесе ол уәкілеттік берген тұлға ашады.</w:t>
      </w:r>
    </w:p>
    <w:p>
      <w:pPr>
        <w:spacing w:after="0"/>
        <w:ind w:left="0"/>
        <w:jc w:val="both"/>
      </w:pPr>
      <w:r>
        <w:rPr>
          <w:rFonts w:ascii="Times New Roman"/>
          <w:b w:val="false"/>
          <w:i w:val="false"/>
          <w:color w:val="000000"/>
          <w:sz w:val="28"/>
        </w:rPr>
        <w:t>
      Солнечный поселкесінің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Солнечный поселкесінің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