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3fe0" w14:textId="3b03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Шақа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11 тамыздағы № 1-03/191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Шақа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Шақа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Т.Т. Кобайдаровқа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2022 жылғы "11" тамыздағы</w:t>
            </w:r>
            <w:r>
              <w:br/>
            </w:r>
            <w:r>
              <w:rPr>
                <w:rFonts w:ascii="Times New Roman"/>
                <w:b w:val="false"/>
                <w:i w:val="false"/>
                <w:color w:val="000000"/>
                <w:sz w:val="20"/>
              </w:rPr>
              <w:t>№ 1-03/191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Шақа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"Аққулы ауданының Шақа ауылдық округі әкімінің аппараты" мемлекеттік мекемесі (бұдан әрі - әкімнің аппараты), Аққулы ауданының Шақа ауылдық округ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Шақа ауылдық округі әкімінің аппараты" мемлекеттік мекемесі, орыс тілінде - государственное учреждение "Аппарат акима Шакинского сельского округа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140703, Аққулы ауданы, Шақа ауылы, Клубная көшесі, 1А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Шақа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Шақа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Шақа ауылдық округі бюджетінің атқарылуы туралы есепті ұсынады;</w:t>
      </w:r>
    </w:p>
    <w:p>
      <w:pPr>
        <w:spacing w:after="0"/>
        <w:ind w:left="0"/>
        <w:jc w:val="both"/>
      </w:pPr>
      <w:r>
        <w:rPr>
          <w:rFonts w:ascii="Times New Roman"/>
          <w:b w:val="false"/>
          <w:i w:val="false"/>
          <w:color w:val="000000"/>
          <w:sz w:val="28"/>
        </w:rPr>
        <w:t>
      Шақа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Шақа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Шақа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Әкімнің аппараты өз құзыреті шегіндегі міндеттері:</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Әкімі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Шақа ауылдық округінiң коммуналдық тұрғын үй қорының сақталуын, сондай-ақ ауылдық округтің, ауылдың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10)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50) Қазақстан Республикасы Жер Кодексімен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ауылдарға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ауылдардың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81) ақпараттандыру саласындағы уәкілетті органмен келісу бойынша "Ақпараттандыру туралы" Қазақстан Республикасының Заңына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xml:space="preserve">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нысанына қарамастан өзге де ұйымдарда әкім аппаратының атынан өкілдік етеді және әкім аппаратының қызметкерлеріне меншік нысанына қарамастан барлық мемлкеттік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"Қазақстан Республикасының мемлекеттік қызметі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Заңымен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Кодексіне, "Қазақстан Республикасының мемлекеттік қызмет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Әкімі аппаратының мүлкі</w:t>
      </w:r>
    </w:p>
    <w:bookmarkEnd w:id="9"/>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Шақа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