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14d6" w14:textId="22f1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Павлодар облысы Май ауданы әкімдігінің 2022 жылғы 24 мамырдағы № 101/5-1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71-1-бабына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тармақшасына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"Ekidos Minerals" (Екидос Минералс) жауапкершілігі шектеулі серіктестігіне Көктүбек ауылдық округінің аумағында орналасқан, мемлекеттік меншікте тұрған және пайдалануға берілмеген, қатты пайдалы қазбаларға барлау жүргізу үшін, жалпы алаңы 300,0 га жер учаскесін 2027 жылдың 22 қазанына дейінгі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"Май ауданы әкімінің аппараты" мемлекеттік мекемесі заңнамада белгіленген тәртіппен осы нормативтік құқықтық актіні ресми жарияланғаннан кейін Май ауданы әкімдігінің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бақылауды аудан әкімінің орынбасары М.С. Шоқановқа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