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2e3b" w14:textId="9d22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27 сәуірдегі № 27/165 "Б" корпусы Бәйдібек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Бәйдібек аудандық мәслихатының 2022 жылғы 20 мамырдағы № 18/123 шешімі</w:t>
      </w:r>
    </w:p>
    <w:p>
      <w:pPr>
        <w:spacing w:after="0"/>
        <w:ind w:left="0"/>
        <w:jc w:val="both"/>
      </w:pPr>
      <w:bookmarkStart w:name="z1" w:id="0"/>
      <w:r>
        <w:rPr>
          <w:rFonts w:ascii="Times New Roman"/>
          <w:b w:val="false"/>
          <w:i w:val="false"/>
          <w:color w:val="000000"/>
          <w:sz w:val="28"/>
        </w:rPr>
        <w:t>
      Бәйдібек аудандық мәслихаты ШЕШТІ:</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"Бәйдібек аудандық мәслихат аппаратының мемлекеттік әкімшілік қызметшілерінің қызметін бағалаудың әдістемесін бекіту туралы" 2018 жылғы 29 сәуірдегі № 27/165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 ШЕШТІ сөзімен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Бәйдібек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2022 жылғы 20 мамырдағы</w:t>
            </w:r>
            <w:r>
              <w:br/>
            </w:r>
            <w:r>
              <w:rPr>
                <w:rFonts w:ascii="Times New Roman"/>
                <w:b w:val="false"/>
                <w:i w:val="false"/>
                <w:color w:val="000000"/>
                <w:sz w:val="20"/>
              </w:rPr>
              <w:t>№ 18/123 шешіміне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қызметшетшілерінің қызметін</w:t>
            </w:r>
            <w:r>
              <w:br/>
            </w:r>
            <w:r>
              <w:rPr>
                <w:rFonts w:ascii="Times New Roman"/>
                <w:b w:val="false"/>
                <w:i w:val="false"/>
                <w:color w:val="000000"/>
                <w:sz w:val="20"/>
              </w:rPr>
              <w:t>бағалау әдістемесіне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27 сәуірдегі №27/165</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Сапасыз құжаттар әзірлейді;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Жедел жұмыс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 сенімді қарым-қатынас орнатады;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Әрқайсысының нәтижеге жетуге қосқан үлесін анықтайды.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тез бейімделеді.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