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92ba" w14:textId="4c99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2022 жылғы 8 қарашадағы № 294 қаулысы. Күші жойылды - Түркістан облысы Отырар ауданы әкімдігінің 2023 жылғы 31 шілдедегі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Отырар ауданы әкімдігінің 31.07.2023 № 175 (алғашқы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14010 тіркелген) Мүгедектігі бар адамдар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2023 жылға мүгедектігі бар адамдар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294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 Отырар аудандық адами әлеуетті дамыту бөлімінің "Ш.Қалдаяқов атындағы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 Отырар аудандық адами әлеуетті дамыту бөлімінің "Темір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 Отырар аудандық адами әлеуетті дамыту бөлімінің "Абай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 Отырар аудандық адами әлеуетті дамыту бөлімінің "Мыңшұңқыр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