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41e3" w14:textId="9c24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2018 жылғы 26 сәуірдегі № 213 "Сайрам ауданы әкімі аппаратының, аудандық бюджеттен қаржыландырылатын атқарушы органдардың және ауылдық округтер әкімдері аппараттарының "Б" корпусындағы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2022 жылғы 27 маусымдағы № 203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 әкімдігінің 2018 жылғы 26 сәуірдегі № 213 "Сайрам ауданы әкімі аппаратының, аудандық бюджеттен қаржыландырылатын атқарушы органдардың және ауылдық округтер әкімдері аппараттарының "Б" корпусындағы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4606 тіркелген) келесідей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Сайрам ауданы әкімі аппаратының, аудандық бюджеттен қаржыландырылатын атқарушы органдардың және ауылдық округтер әкімдері аппараттарының "Б" корпусындағы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> келесідей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> 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"Сайрам ауданы әкімінің аппараты" мемлекеттік мекемесінің басшысы Б.Тұрғынбековке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