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f03e" w14:textId="f63f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2021 жылғы 28 желтоқсандағы № 74 "2022-2024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 маусымдағы № 107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2021 жылғы 28 желтоқсандағы № 74 "2022-2024 жылдарға арналған ауылдық округтер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2022-2024 жылдарға арналған бюджеті 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85 066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1 197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2022-2024 жылдарға арналған бюджеті 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50 971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2022-2024 жылдарға арналған бюджеті 7-қосымшаға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79 563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72 925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2022-2024 жылдарға арналған бюджеті 10-қосымшаға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58 875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23 452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1 071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2022-2024 жылдарға арналған бюджеті 13-қосымшаға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76 813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87 130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Созақ ауылдық округінің 2022-2024 жылдарға арналған бюджеті 16-қосымшаға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88 682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2 337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2022-2024 жылдарға арналған бюджеті 19-қосымшаға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83 533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2022-2024 жылдарға арналған бюджеті 22-қосымшаға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193 497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136 928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-21 277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21 277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21 277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Шу ауылдық округінің 2022-2024 жылдарға арналған бюджеті 25-қосымшаға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52 710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2022-2024 жылдарға арналған бюджеті 28-қосымшаға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80 572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2022-2024 жылдарға арналған бюджеті 31-қосымшаға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86 879,0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 Тасты ауылдық округінің 2022-2024 жылдарға арналған бюджеті 34-қосымшаға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46 446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1 060 мың теңге.".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