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8a6d" w14:textId="4468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2021 жылғы 30 желтоқсандағы № 14-83-VІІ "2022-2024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27 мамырдағы № 19-116-VII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"2022-2024 жылдарға арналған қала, ауылдық округтердің бюджеті туралы" 2021 жылғы 30 желтоқсандағы № 14-83-VII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2022-2024 жылдарға арналған бюджеті 1, 2 және 3-қосымшаларға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341 015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235 848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348 975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7 960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7 960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2022-2024 жылдарға арналған бюджеті 4, 5, 6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129 494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130 832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1 338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2022-2024 жылдарға арналған бюджеті 7, 8, 9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195 206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183 244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196 521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2022-2024 жылдарға арналған бюджеті 10, 11, 12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86 033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2022-2024 жылдарға арналған бюджеті 13, 14, 15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162 795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149 009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164 230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2022-2024 жылдарға арналған бюджеті 16, 17, 18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94 284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89 977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2022-2024 жылдарға арналған бюджеті 19, 20, 21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118 938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112 897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122 462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- 3 524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3 524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3 524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2022-2024 жылдарға арналған бюджеті 22, 23, 24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190 519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184 912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190 881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2022-2024 жылдарға арналған бюджеті 25, 26, 27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120 113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115 113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2022-2024 жылдарға арналған бюджеті 28, 29, 30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116 039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108 362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116 484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2022-2024 жылдарға арналған бюджеті 31, 32, 33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104 283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95 633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1 180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19-116-VII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