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5010" w14:textId="9c55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2021 жылғы 30 желтоқсандағы № 14-83-VІІ "2022-2024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2022 жылғы 28 қарашадағы № 23-146-VII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"2022-2024 жылдарға арналған қала, ауылдық округтердің бюджеті туралы" 2021 жылғы 30 желтоқсандағы № 14-83-VII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2022-2024 жылдарға арналған бюджеті 1, 2 және 3-қосымшаларға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424 736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110 007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314 183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432 696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-7 960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7 960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7 960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2022-2024 жылдарға арналған бюджеті 4, 5, 6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120 001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104 486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121 339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1 338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1 338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2022-2024 жылдарға арналған бюджеті 7, 8, 9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158 485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143 868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159 800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1315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1315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Ұзыната ауылдық округінің 2022-2024 жылдарға арналған бюджеті 10, 11, 12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93 567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85 987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93 989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2022-2024 жылдарға арналған бюджеті 13, 14, 15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138 781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124 434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140 216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1 435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1 435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2022-2024 жылдарға арналған бюджеті 16, 17, 18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97 646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93 939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97 741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2022-2024 жылдарға арналған бюджеті 19, 20, 21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114 696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108 655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118 220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- 3 524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3 524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3 524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2022-2024 жылдарға арналған бюджеті 22, 23, 24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191 553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185 659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191 915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2022-2024 жылдарға арналған бюджеті 25, 26, 27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120 023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114 535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120 456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2022-2024 жылдарға арналған бюджеті 28, 29, 30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128 208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120 194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128 653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2022-2024 жылдарға арналған бюджеті 31, 32, 33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91 155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83 575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92 335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- 1 180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1 180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23-146-VII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14-83-VII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23-146-VII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14-83-VII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23-146-VII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14-83-VII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23-146-VII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14-83-VII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23-146-VII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14-83-VII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23-146-VII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14-83-VII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23-146-VII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14-83-VII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23-146-VII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14-83-VII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23-146-VII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14-83-VII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23-146-VII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14-83-VII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23-146-VII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14-83-VII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