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51a" w14:textId="29f2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"Жылы су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405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"Жылы су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"Жылы су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"Жылы су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"Жылы су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"Жылы су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"Жылы су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"Жылы су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"Жылы су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"Жылы су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"Жылы су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"Жылы су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160517, Қазақстан Республикасы, Түркістан облысы, Жетісай ауданы, Жылы су ауылдық округі, Жылы су ауылы Ө.Испулов көшесі №36/2.</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"Жылы су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"Жылы су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"Жылы су ауылдық округі әкімі аппараты" мемлекеттік мекемесіне кәсіпкерлік субъектілерімен Жетісай ауданының "Жылы су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"Жылы су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Жылы су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Жылы су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Жылы су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17. Жетісай ауданының "Жылы су ауылдық округі әкімі аппараты" мемлекеттік мекемесін басқаруды ауылдық округ әкімі жүзеге асырады, ол Жетісай ауданының "Жылы су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18. Жетісай ауданының "Жылы су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19. Жетісай ауданының "Жылы су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20. Жетісай ауданының "Жылы су ауылдық округі әкімі аппараты" мемлекеттік мекемесі бірінші басшысының өкілеттіктері:</w:t>
      </w:r>
    </w:p>
    <w:bookmarkEnd w:id="27"/>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"Жылы су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"Жылы су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"Жылы су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"Жылы су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22. Жетісай ауданының "Жылы су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Жетісай ауданының "Жылы су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23. Жетісай ауданының "Жылы су ауылдық округі әкімі аппараты" мемлекеттік мекемесіне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24. Егер заңнамада өзгеше көзделмесе, Жетісай ауданының "Жылы су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25. Жетісай ауданының "Жылы су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26. Жетісай ауданының "Жылы су ауылдық округі әкімі аппараты" мемлекеттік мекемесінің қарамағында ведомстволық ұйымдар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