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4002" w14:textId="5e74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2021 жылғы 27 желтоқсандағы № 17-102-VII "2022-2024 жылдарға арналған қала,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2022 жылғы 12 желтоқсандағы № 27-173-VII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Жетісай аудандық мәслихаты ШЕШТІ: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Жетісай қаласының 2022-2024 жылдарға арналған бюджеті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200 680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169 547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11 705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19 031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3360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Жаңа ауыл ауылдық округінің 2022-2024 жылдарға арналған бюджеті 4, 5 және 6-қосымшаларға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61 313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38 822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2 557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Жылы су ауылдық округінің 2022-2024 жылдарға арналған бюджеті 7, 8 және 9-қосымшаларға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62 074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Қазыбек би ауылдық округінің 2022-2024 жылдарға арналған бюджеті 10, 11 және 12-қосымшаларға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59 192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33 348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2 438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Қарақай ауылдық округінің 2022-2024 жылдарға арналған бюджеті 13, 14 және 15-қосымшаларға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47 201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Асықата кентінің 2022-2024 жылдарға арналған бюджеті 16, 17 және 18-қосымшаларға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78 938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80 383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1 445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Абай ауылдық округінің 2022-2024 жылдарға арналған бюджеті 19, 20 және 21-қосымшаларға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49 147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3 925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Атамекен ауылдық округінің 2022-2024 жылдарға арналған бюджеті 22, 23 және 24-қосымшаларға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51 083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8 922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Ш.Ділдабеков ауылдық округінің 2022-2024 жылдарға арналған бюджеті 25, 26 және 27-қосымшаларға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67 915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3 757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45 778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2 352мың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Ж.Ералиев ауылдық округінің 2022-2024 жылдарға арналған бюджеті 28, 29 және 30-қосымшаларға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72 027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57 443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2 340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Қызылқұм ауылдық округінің 2022-2024 жылдарға арналған бюджеті 31, 32 және 33-қосымшаларға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66 906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8 425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39 664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Мақталы ауылдық округінің 2022-2024 жылдарға арналған бюджеті 34, 35 және 36-қосымшаларға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49 045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9 379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39 121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Ынтымақ ауылдық округінің 2022-2024 жылдарға арналған бюджеті 37, 38 және 39-қосымшаларға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62 270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65 808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3 538 мың теңге;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27-173- 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27-173- 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27-173- VII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27-173- VII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27-173- VII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27-173- VII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27-173- VII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27-173- VII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27-173- VII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27-173- VII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27-173- VII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27-173- VII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27-173- VII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17-107-VII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