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ff3d" w14:textId="e52f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2021 жылғы 28 желтоқсандағы № 84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2022 жылғы 7 желтоқсандағы № 164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ауылдық округтердің бюджеттері туралы " Сауран аудандық мәслихатының 2021 жылғы 28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Ескі Иқан ауылдық округінің 2022-2024 жылдарға арналған бюджеті тиісінше 4, 5 және 6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136 403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–112 741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Жаңа Иқан ауылдық округінің 2022-2024 жылдарға арналған бюджеті тиісінше 7, 8 және 9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123 170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- 25 986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25 986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25 986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Жібек Жолы ауылдық округінің 2022-2024 жылдарға арналған бюджеті тиісінше 10, 11 және 12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79 063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75 730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702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Жүйнек ауылдық округінің 2022-2024 жылдарға арналған бюджеті тиісінше 13, 14 және 15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120 698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14 011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2 463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Иассы ауылдық округінің 2022-2024 жылдарға арналған бюджеті тиісінше 16, 17 және 18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71 906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4 336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Қарашық ауылдық округінің 2022-2024 жылдарға арналған бюджеті тиісінше 19, 20 және 21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97 794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1 368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Майдантал ауылдық округінің 2022-2024 жылдарға арналған бюджеті тиісінше 22, 23 және 24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517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Оранғай ауылдық округінің 2022-2024 жылдарға арналған бюджеті тиісінше 25, 26 және 27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893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Үшқайық ауылдық округінің 2022-2024 жылдарға арналған бюджеті тиісінше 28, 29 және 30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95 476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Шаға ауылдық округінің 2022-2024 жылдарға арналған бюджеті тиісінше 31, 32 және 33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- 17 454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17 454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17 454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Шорнақ ауылдық округінің 2022-2024 жылдарға арналған бюджеті тиісінше 34, 35 және 36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89 892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–1 294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1 294 мың теңге".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М.Күнпейсов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Ескі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Иқан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Жібек Жолы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Жүйнек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Иассы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Майдантал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Оранғай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Үшқайық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"07"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Шорнақ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