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2779" w14:textId="7722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Өскемен қаласының ауылдық елді мекендеріне жұмыс істеуге және тұруға келген денсаулық сақтау, білім беру және ветеринария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2022 жылғы 26 желтоқсандағы № 32/4-VII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85702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ШЕШІМ ҚАБЫЛДАДЫ:</w:t>
      </w:r>
    </w:p>
    <w:bookmarkEnd w:id="0"/>
    <w:bookmarkStart w:name="z6" w:id="1"/>
    <w:p>
      <w:pPr>
        <w:spacing w:after="0"/>
        <w:ind w:left="0"/>
        <w:jc w:val="both"/>
      </w:pPr>
      <w:r>
        <w:rPr>
          <w:rFonts w:ascii="Times New Roman"/>
          <w:b w:val="false"/>
          <w:i w:val="false"/>
          <w:color w:val="000000"/>
          <w:sz w:val="28"/>
        </w:rPr>
        <w:t>
      1. 2023 жылы Өскемен қаласының ауылдық елді мекендеріне жұмыс істеу және тұру үшін келген денсаулық сақтау, білім беру және ветеринария саласындағы мамандарға:</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көрсетілсін;</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