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56d2" w14:textId="fa75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7/20-VII "Алтай ауданының Серебрянск қаласы бойынша жайылымдарды басқару және оларды пайдалану бойынша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23/11-VII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Алтай ауданының мәслихатының 2021 жылғы 28 қыркүйектегі № 7/20-VII "Алтай ауданының Серебрянск қаласы бойынша жайылымдарды басқару және оларды пайдалану бойынша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Серебрянск қаласы бойынша жайылымдарды басқару және оларды пайдалану бойынша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23/11-VII шешіміне қосымша</w:t>
            </w:r>
          </w:p>
        </w:tc>
      </w:tr>
    </w:tbl>
    <w:bookmarkStart w:name="z10" w:id="3"/>
    <w:p>
      <w:pPr>
        <w:spacing w:after="0"/>
        <w:ind w:left="0"/>
        <w:jc w:val="left"/>
      </w:pPr>
      <w:r>
        <w:rPr>
          <w:rFonts w:ascii="Times New Roman"/>
          <w:b/>
          <w:i w:val="false"/>
          <w:color w:val="000000"/>
        </w:rPr>
        <w:t xml:space="preserve"> Алтай ауданының Серебрянск қаласы бойынша жайылымдарды басқару және оларды пайдалану жөніндегі 2022-2023 жылдарға арналған жоспары </w:t>
      </w:r>
    </w:p>
    <w:bookmarkEnd w:id="3"/>
    <w:bookmarkStart w:name="z11" w:id="4"/>
    <w:p>
      <w:pPr>
        <w:spacing w:after="0"/>
        <w:ind w:left="0"/>
        <w:jc w:val="both"/>
      </w:pPr>
      <w:r>
        <w:rPr>
          <w:rFonts w:ascii="Times New Roman"/>
          <w:b w:val="false"/>
          <w:i w:val="false"/>
          <w:color w:val="000000"/>
          <w:sz w:val="28"/>
        </w:rPr>
        <w:t>
      Осы Алтай ауданының Серебрянск қаласы бойынша жайылымдарды басқару және оларды пайдалану жөніндегі 2022-2023 жылдарға арналған жоспары (бұдан әрі- Жоспар)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Қазақстан Республикасының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тіркелді)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Алтай ауданының Серебрянск қаласы аумағында жайылымдардың орналасу схемасын (картасын) (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Серебрянск қаласының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w:t>
      </w:r>
      <w:r>
        <w:rPr>
          <w:rFonts w:ascii="Times New Roman"/>
          <w:b w:val="false"/>
          <w:i w:val="false"/>
          <w:color w:val="000000"/>
          <w:sz w:val="28"/>
        </w:rPr>
        <w:t>7-1- қосымша</w:t>
      </w:r>
      <w:r>
        <w:rPr>
          <w:rFonts w:ascii="Times New Roman"/>
          <w:b w:val="false"/>
          <w:i w:val="false"/>
          <w:color w:val="000000"/>
          <w:sz w:val="28"/>
        </w:rPr>
        <w:t>)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Серебрянск қаласы аумағының жалпы ауданы 2574 га, соның ішінде егістіктер – 233 га, жайылымдық жерлер – 1343 га.</w:t>
      </w:r>
    </w:p>
    <w:bookmarkEnd w:id="16"/>
    <w:bookmarkStart w:name="z24" w:id="17"/>
    <w:p>
      <w:pPr>
        <w:spacing w:after="0"/>
        <w:ind w:left="0"/>
        <w:jc w:val="both"/>
      </w:pPr>
      <w:r>
        <w:rPr>
          <w:rFonts w:ascii="Times New Roman"/>
          <w:b w:val="false"/>
          <w:i w:val="false"/>
          <w:color w:val="000000"/>
          <w:sz w:val="28"/>
        </w:rPr>
        <w:t xml:space="preserve">
      Табиғи жағдайлары бойынша Серебрянск қаласының аумағы таулы-шалғынды аймақта орналасқан. Аймақтың климаты күрт континентті. </w:t>
      </w:r>
    </w:p>
    <w:bookmarkEnd w:id="17"/>
    <w:bookmarkStart w:name="z25" w:id="18"/>
    <w:p>
      <w:pPr>
        <w:spacing w:after="0"/>
        <w:ind w:left="0"/>
        <w:jc w:val="both"/>
      </w:pPr>
      <w:r>
        <w:rPr>
          <w:rFonts w:ascii="Times New Roman"/>
          <w:b w:val="false"/>
          <w:i w:val="false"/>
          <w:color w:val="000000"/>
          <w:sz w:val="28"/>
        </w:rPr>
        <w:t xml:space="preserve">
      Серебрянск қаласының аумағында ветеринарлық пункт, мал қорымы бар. </w:t>
      </w:r>
    </w:p>
    <w:bookmarkEnd w:id="18"/>
    <w:bookmarkStart w:name="z26" w:id="19"/>
    <w:p>
      <w:pPr>
        <w:spacing w:after="0"/>
        <w:ind w:left="0"/>
        <w:jc w:val="both"/>
      </w:pPr>
      <w:r>
        <w:rPr>
          <w:rFonts w:ascii="Times New Roman"/>
          <w:b w:val="false"/>
          <w:i w:val="false"/>
          <w:color w:val="000000"/>
          <w:sz w:val="28"/>
        </w:rPr>
        <w:t>
      2021 жылғы 1 қаңтарға Серебрянск қаласында (халықтың жеке ауласы және ЖШС, ШҚ мал басы) 498 ірі қара мал бар, оның ішінде аналық (сауын) 248 бас, ұсақ мал 547 бас, жылқы 77 бас (</w:t>
      </w:r>
      <w:r>
        <w:rPr>
          <w:rFonts w:ascii="Times New Roman"/>
          <w:b w:val="false"/>
          <w:i w:val="false"/>
          <w:color w:val="000000"/>
          <w:sz w:val="28"/>
        </w:rPr>
        <w:t>№1 кесте</w:t>
      </w:r>
      <w:r>
        <w:rPr>
          <w:rFonts w:ascii="Times New Roman"/>
          <w:b w:val="false"/>
          <w:i w:val="false"/>
          <w:color w:val="000000"/>
          <w:sz w:val="28"/>
        </w:rPr>
        <w:t xml:space="preserve">) есептелген. </w:t>
      </w:r>
    </w:p>
    <w:bookmarkEnd w:id="19"/>
    <w:bookmarkStart w:name="z27" w:id="20"/>
    <w:p>
      <w:pPr>
        <w:spacing w:after="0"/>
        <w:ind w:left="0"/>
        <w:jc w:val="left"/>
      </w:pPr>
      <w:r>
        <w:rPr>
          <w:rFonts w:ascii="Times New Roman"/>
          <w:b/>
          <w:i w:val="false"/>
          <w:color w:val="000000"/>
        </w:rPr>
        <w:t xml:space="preserve"> Серебрянск қаласы бойынша ауыл шаруашылығы мал басының саны туралы деректер</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bookmarkStart w:name="z29" w:id="21"/>
    <w:p>
      <w:pPr>
        <w:spacing w:after="0"/>
        <w:ind w:left="0"/>
        <w:jc w:val="both"/>
      </w:pPr>
      <w:r>
        <w:rPr>
          <w:rFonts w:ascii="Times New Roman"/>
          <w:b w:val="false"/>
          <w:i w:val="false"/>
          <w:color w:val="000000"/>
          <w:sz w:val="28"/>
        </w:rPr>
        <w:t xml:space="preserve">
      Серебрянск қаласы бойынша ауыл шаруашылығы жануарларын жайылымдық алаптармен қамтамасыз ету үшін жалпы 1343 га бар. </w:t>
      </w:r>
    </w:p>
    <w:bookmarkEnd w:id="21"/>
    <w:bookmarkStart w:name="z30" w:id="22"/>
    <w:p>
      <w:pPr>
        <w:spacing w:after="0"/>
        <w:ind w:left="0"/>
        <w:jc w:val="both"/>
      </w:pPr>
      <w:r>
        <w:rPr>
          <w:rFonts w:ascii="Times New Roman"/>
          <w:b w:val="false"/>
          <w:i w:val="false"/>
          <w:color w:val="000000"/>
          <w:sz w:val="28"/>
        </w:rPr>
        <w:t xml:space="preserve">
      Жоғарыда айтылғандардың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Серебрянск қаласының жергілікті халқының мұқтажы үшін елді мекендердің қолда бар жайылымдық алқаптары кезінде ауыл шаруашылығы жануарларының аналық (сауын) басын күтіп-ұстау бойынша 1343 га мөлшерінде қажеттілік 744 га құрайды (</w:t>
      </w:r>
      <w:r>
        <w:rPr>
          <w:rFonts w:ascii="Times New Roman"/>
          <w:b w:val="false"/>
          <w:i w:val="false"/>
          <w:color w:val="000000"/>
          <w:sz w:val="28"/>
        </w:rPr>
        <w:t>№2 кесте</w:t>
      </w:r>
      <w:r>
        <w:rPr>
          <w:rFonts w:ascii="Times New Roman"/>
          <w:b w:val="false"/>
          <w:i w:val="false"/>
          <w:color w:val="000000"/>
          <w:sz w:val="28"/>
        </w:rPr>
        <w:t xml:space="preserve">).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bookmarkStart w:name="z33" w:id="23"/>
    <w:p>
      <w:pPr>
        <w:spacing w:after="0"/>
        <w:ind w:left="0"/>
        <w:jc w:val="both"/>
      </w:pPr>
      <w:r>
        <w:rPr>
          <w:rFonts w:ascii="Times New Roman"/>
          <w:b w:val="false"/>
          <w:i w:val="false"/>
          <w:color w:val="000000"/>
          <w:sz w:val="28"/>
        </w:rPr>
        <w:t>
      Басқа да жергілікті ауыл шаруашылығы жануарларын мал басына түсетін жүктеме нормасында жаю: ірі қара мал – 3 га, ұсақ мал – 0,5 га, жылқы – 5 га, сондай-ақ елді мекен шегінде жүргізіледі (</w:t>
      </w:r>
      <w:r>
        <w:rPr>
          <w:rFonts w:ascii="Times New Roman"/>
          <w:b w:val="false"/>
          <w:i w:val="false"/>
          <w:color w:val="000000"/>
          <w:sz w:val="28"/>
        </w:rPr>
        <w:t>№3 кесте</w:t>
      </w:r>
      <w:r>
        <w:rPr>
          <w:rFonts w:ascii="Times New Roman"/>
          <w:b w:val="false"/>
          <w:i w:val="false"/>
          <w:color w:val="000000"/>
          <w:sz w:val="28"/>
        </w:rPr>
        <w:t xml:space="preserve">).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bl>
    <w:bookmarkStart w:name="z36" w:id="24"/>
    <w:p>
      <w:pPr>
        <w:spacing w:after="0"/>
        <w:ind w:left="0"/>
        <w:jc w:val="both"/>
      </w:pPr>
      <w:r>
        <w:rPr>
          <w:rFonts w:ascii="Times New Roman"/>
          <w:b w:val="false"/>
          <w:i w:val="false"/>
          <w:color w:val="000000"/>
          <w:sz w:val="28"/>
        </w:rPr>
        <w:t>
      810 га мөлшеріндегі жайылымдық алқаптардың қалыптасқан қажеттілігін ауыл шаруашылығы өндірушілерінің шалғайдағы жайылымдарында халықтың ауыл шаруашылығы малдарын жаю есебінен толықтыру қажет.</w:t>
      </w:r>
    </w:p>
    <w:bookmarkEnd w:id="24"/>
    <w:bookmarkStart w:name="z37" w:id="25"/>
    <w:p>
      <w:pPr>
        <w:spacing w:after="0"/>
        <w:ind w:left="0"/>
        <w:jc w:val="both"/>
      </w:pPr>
      <w:r>
        <w:rPr>
          <w:rFonts w:ascii="Times New Roman"/>
          <w:b w:val="false"/>
          <w:i w:val="false"/>
          <w:color w:val="000000"/>
          <w:sz w:val="28"/>
        </w:rPr>
        <w:t>
      Серебрянск қаласы жергілікті халқының малын жаю үшін 4 табын ұйымдастырылған: 1– табын – қаланың батыс бөлігінде, суат: бұлақтар; 2– табын – қаланың солтүстік бөлігінде, суат: Сухой бұлағы; 3– табын – шығысында, суат: Серебрянка шағын өзені; 4– табын – қаланың оңтүстік бөлігінде, суат–Өскемен су қоймасы.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Серебрянск </w:t>
            </w:r>
            <w:r>
              <w:br/>
            </w:r>
            <w:r>
              <w:rPr>
                <w:rFonts w:ascii="Times New Roman"/>
                <w:b w:val="false"/>
                <w:i w:val="false"/>
                <w:color w:val="000000"/>
                <w:sz w:val="20"/>
              </w:rPr>
              <w:t xml:space="preserve">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1- қосымша </w:t>
            </w:r>
          </w:p>
        </w:tc>
      </w:tr>
    </w:tbl>
    <w:bookmarkStart w:name="z39" w:id="2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бөлінісіндеАлтай ауданының Серебрянск қаласы аумағында жайылымдардың орналасу схемасы (картасы) </w:t>
      </w:r>
    </w:p>
    <w:bookmarkEnd w:id="26"/>
    <w:bookmarkStart w:name="z40"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7470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1" w:id="28"/>
    <w:p>
      <w:pPr>
        <w:spacing w:after="0"/>
        <w:ind w:left="0"/>
        <w:jc w:val="left"/>
      </w:pPr>
      <w:r>
        <w:rPr>
          <w:rFonts w:ascii="Times New Roman"/>
          <w:b/>
          <w:i w:val="false"/>
          <w:color w:val="000000"/>
        </w:rPr>
        <w:t xml:space="preserve"> Шарты белгілері:</w:t>
      </w:r>
    </w:p>
    <w:bookmarkEnd w:id="28"/>
    <w:bookmarkStart w:name="z42"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5057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Серебрянск </w:t>
            </w:r>
            <w:r>
              <w:br/>
            </w:r>
            <w:r>
              <w:rPr>
                <w:rFonts w:ascii="Times New Roman"/>
                <w:b w:val="false"/>
                <w:i w:val="false"/>
                <w:color w:val="000000"/>
                <w:sz w:val="20"/>
              </w:rPr>
              <w:t xml:space="preserve">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2- қосымша </w:t>
            </w:r>
          </w:p>
        </w:tc>
      </w:tr>
    </w:tbl>
    <w:bookmarkStart w:name="z44" w:id="30"/>
    <w:p>
      <w:pPr>
        <w:spacing w:after="0"/>
        <w:ind w:left="0"/>
        <w:jc w:val="left"/>
      </w:pPr>
      <w:r>
        <w:rPr>
          <w:rFonts w:ascii="Times New Roman"/>
          <w:b/>
          <w:i w:val="false"/>
          <w:color w:val="000000"/>
        </w:rPr>
        <w:t xml:space="preserve"> жайылым айналымдарының қолайлы схемалары</w:t>
      </w:r>
    </w:p>
    <w:bookmarkEnd w:id="30"/>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Серебрянск </w:t>
            </w:r>
            <w:r>
              <w:br/>
            </w:r>
            <w:r>
              <w:rPr>
                <w:rFonts w:ascii="Times New Roman"/>
                <w:b w:val="false"/>
                <w:i w:val="false"/>
                <w:color w:val="000000"/>
                <w:sz w:val="20"/>
              </w:rPr>
              <w:t xml:space="preserve">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3- қосымша </w:t>
            </w:r>
          </w:p>
        </w:tc>
      </w:tr>
    </w:tbl>
    <w:bookmarkStart w:name="z48" w:id="3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31"/>
    <w:bookmarkStart w:name="z49"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3"/>
    <w:p>
      <w:pPr>
        <w:spacing w:after="0"/>
        <w:ind w:left="0"/>
        <w:jc w:val="left"/>
      </w:pPr>
      <w:r>
        <w:rPr>
          <w:rFonts w:ascii="Times New Roman"/>
          <w:b/>
          <w:i w:val="false"/>
          <w:color w:val="000000"/>
        </w:rPr>
        <w:t xml:space="preserve"> Шартты белгілері:</w:t>
      </w:r>
    </w:p>
    <w:bookmarkEnd w:id="33"/>
    <w:bookmarkStart w:name="z5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Серебрянск </w:t>
            </w:r>
            <w:r>
              <w:br/>
            </w:r>
            <w:r>
              <w:rPr>
                <w:rFonts w:ascii="Times New Roman"/>
                <w:b w:val="false"/>
                <w:i w:val="false"/>
                <w:color w:val="000000"/>
                <w:sz w:val="20"/>
              </w:rPr>
              <w:t xml:space="preserve">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4- қосымша </w:t>
            </w:r>
          </w:p>
        </w:tc>
      </w:tr>
    </w:tbl>
    <w:bookmarkStart w:name="z53" w:id="35"/>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35"/>
    <w:bookmarkStart w:name="z5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7"/>
    <w:p>
      <w:pPr>
        <w:spacing w:after="0"/>
        <w:ind w:left="0"/>
        <w:jc w:val="left"/>
      </w:pPr>
      <w:r>
        <w:rPr>
          <w:rFonts w:ascii="Times New Roman"/>
          <w:b/>
          <w:i w:val="false"/>
          <w:color w:val="000000"/>
        </w:rPr>
        <w:t xml:space="preserve"> Шартты белгілері:</w:t>
      </w:r>
    </w:p>
    <w:bookmarkEnd w:id="37"/>
    <w:bookmarkStart w:name="z5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Серебрянск </w:t>
            </w:r>
            <w:r>
              <w:br/>
            </w:r>
            <w:r>
              <w:rPr>
                <w:rFonts w:ascii="Times New Roman"/>
                <w:b w:val="false"/>
                <w:i w:val="false"/>
                <w:color w:val="000000"/>
                <w:sz w:val="20"/>
              </w:rPr>
              <w:t xml:space="preserve">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жоспарына 5- қосымша</w:t>
            </w:r>
          </w:p>
        </w:tc>
      </w:tr>
    </w:tbl>
    <w:bookmarkStart w:name="z58" w:id="3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9"/>
    <w:bookmarkStart w:name="z5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1"/>
    <w:p>
      <w:pPr>
        <w:spacing w:after="0"/>
        <w:ind w:left="0"/>
        <w:jc w:val="left"/>
      </w:pPr>
      <w:r>
        <w:rPr>
          <w:rFonts w:ascii="Times New Roman"/>
          <w:b/>
          <w:i w:val="false"/>
          <w:color w:val="000000"/>
        </w:rPr>
        <w:t xml:space="preserve"> Шартты белгілері:</w:t>
      </w:r>
    </w:p>
    <w:bookmarkEnd w:id="41"/>
    <w:bookmarkStart w:name="z6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Серебрянск </w:t>
            </w:r>
            <w:r>
              <w:br/>
            </w:r>
            <w:r>
              <w:rPr>
                <w:rFonts w:ascii="Times New Roman"/>
                <w:b w:val="false"/>
                <w:i w:val="false"/>
                <w:color w:val="000000"/>
                <w:sz w:val="20"/>
              </w:rPr>
              <w:t xml:space="preserve">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жоспарына 6- қосымша</w:t>
            </w:r>
          </w:p>
        </w:tc>
      </w:tr>
    </w:tbl>
    <w:bookmarkStart w:name="z63" w:id="43"/>
    <w:p>
      <w:pPr>
        <w:spacing w:after="0"/>
        <w:ind w:left="0"/>
        <w:jc w:val="left"/>
      </w:pPr>
      <w:r>
        <w:rPr>
          <w:rFonts w:ascii="Times New Roman"/>
          <w:b/>
          <w:i w:val="false"/>
          <w:color w:val="000000"/>
        </w:rPr>
        <w:t xml:space="preserve"> Серебрянск қаласының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3"/>
    <w:bookmarkStart w:name="z6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5"/>
    <w:p>
      <w:pPr>
        <w:spacing w:after="0"/>
        <w:ind w:left="0"/>
        <w:jc w:val="left"/>
      </w:pPr>
      <w:r>
        <w:rPr>
          <w:rFonts w:ascii="Times New Roman"/>
          <w:b/>
          <w:i w:val="false"/>
          <w:color w:val="000000"/>
        </w:rPr>
        <w:t xml:space="preserve"> Шартты белгілері:</w:t>
      </w:r>
    </w:p>
    <w:bookmarkEnd w:id="45"/>
    <w:bookmarkStart w:name="z6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Серебрянск </w:t>
            </w:r>
            <w:r>
              <w:br/>
            </w:r>
            <w:r>
              <w:rPr>
                <w:rFonts w:ascii="Times New Roman"/>
                <w:b w:val="false"/>
                <w:i w:val="false"/>
                <w:color w:val="000000"/>
                <w:sz w:val="20"/>
              </w:rPr>
              <w:t xml:space="preserve">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жоспарына 7- қосымша</w:t>
            </w:r>
          </w:p>
        </w:tc>
      </w:tr>
    </w:tbl>
    <w:bookmarkStart w:name="z68" w:id="4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айдау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Серебрянск </w:t>
            </w:r>
            <w:r>
              <w:br/>
            </w:r>
            <w:r>
              <w:rPr>
                <w:rFonts w:ascii="Times New Roman"/>
                <w:b w:val="false"/>
                <w:i w:val="false"/>
                <w:color w:val="000000"/>
                <w:sz w:val="20"/>
              </w:rPr>
              <w:t xml:space="preserve">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7-1- қосымша </w:t>
            </w:r>
          </w:p>
        </w:tc>
      </w:tr>
    </w:tbl>
    <w:bookmarkStart w:name="z70" w:id="48"/>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 w:id="50"/>
    <w:p>
      <w:pPr>
        <w:spacing w:after="0"/>
        <w:ind w:left="0"/>
        <w:jc w:val="left"/>
      </w:pPr>
      <w:r>
        <w:rPr>
          <w:rFonts w:ascii="Times New Roman"/>
          <w:b/>
          <w:i w:val="false"/>
          <w:color w:val="000000"/>
        </w:rPr>
        <w:t xml:space="preserve"> Шарты белгілері:</w:t>
      </w:r>
    </w:p>
    <w:bookmarkEnd w:id="50"/>
    <w:bookmarkStart w:name="z7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302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02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