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9e34" w14:textId="aa89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29 наурыздағы № 124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20.12.2019 жылғы № 507 қаулысына енгізілген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 2 қосымшасымен бекітілген "Шығыс Қазақстан облысы Үржар ауданының Қарабұлақ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 Қарабұлақ ауылдық округінің әкімі Е.Кайранбаев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29. 03. 2022 жылғы </w:t>
            </w:r>
            <w:r>
              <w:br/>
            </w:r>
            <w:r>
              <w:rPr>
                <w:rFonts w:ascii="Times New Roman"/>
                <w:b w:val="false"/>
                <w:i w:val="false"/>
                <w:color w:val="000000"/>
                <w:sz w:val="20"/>
              </w:rPr>
              <w:t xml:space="preserve">№ 124 қаулысымен </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"Шығыс Қазақстан облысы Үржар ауданының Қарабұлақ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Қарабұлақ ауылдық округі Әкімінің аппараты" Мемлекеттік мекемесі (бұдан әрі – "Аппарат") Қарабұлақ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Қарабұлақ ауылы, Баекенов Ақан көшесі 24 "А", индекс 071713.</w:t>
      </w:r>
    </w:p>
    <w:p>
      <w:pPr>
        <w:spacing w:after="0"/>
        <w:ind w:left="0"/>
        <w:jc w:val="both"/>
      </w:pPr>
      <w:r>
        <w:rPr>
          <w:rFonts w:ascii="Times New Roman"/>
          <w:b w:val="false"/>
          <w:i w:val="false"/>
          <w:color w:val="000000"/>
          <w:sz w:val="28"/>
        </w:rPr>
        <w:t>
      10. Осы ереже Аппараттың құрылтай құжаты болып табылады.</w:t>
      </w:r>
    </w:p>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 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 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 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жергілікті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Қарабұлақ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Кайранбаев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