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a9e1" w14:textId="495a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2023 жылғы 11 сәуірдегі № 8С-2-4 шешімі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Ақмола облысының қалалары мен елді мекендерінің аумақтарын абаттандыру қағидалары (бұдан әрі – Қағидалар)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Республикасының заңдарына сәйкес,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(Нормативтік құқықтық актілерді мемлекеттік тіркеу тізілімінде 10886 тіркелді)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Ақмола облысы бойынша қалалар мен елді мекендердің аумақтарын абаттандыру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Start w:name="z8" w:id="3"/>
    <w:p>
      <w:pPr>
        <w:spacing w:after="0"/>
        <w:ind w:left="0"/>
        <w:jc w:val="both"/>
      </w:pPr>
      <w:r>
        <w:rPr>
          <w:rFonts w:ascii="Times New Roman"/>
          <w:b w:val="false"/>
          <w:i w:val="false"/>
          <w:color w:val="000000"/>
          <w:sz w:val="28"/>
        </w:rPr>
        <w:t>
      18.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тармақтар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Start w:name="z12" w:id="4"/>
    <w:p>
      <w:pPr>
        <w:spacing w:after="0"/>
        <w:ind w:left="0"/>
        <w:jc w:val="both"/>
      </w:pPr>
      <w:r>
        <w:rPr>
          <w:rFonts w:ascii="Times New Roman"/>
          <w:b w:val="false"/>
          <w:i w:val="false"/>
          <w:color w:val="000000"/>
          <w:sz w:val="28"/>
        </w:rPr>
        <w:t>
      21. Контейнерлерге және контейнерлік алаңдарға тек коммуналдық қалдықтарды тастауға және жинауға жол беріледі.";</w:t>
      </w:r>
    </w:p>
    <w:bookmarkEnd w:id="4"/>
    <w:bookmarkStart w:name="z13" w:id="5"/>
    <w:p>
      <w:pPr>
        <w:spacing w:after="0"/>
        <w:ind w:left="0"/>
        <w:jc w:val="both"/>
      </w:pPr>
      <w:r>
        <w:rPr>
          <w:rFonts w:ascii="Times New Roman"/>
          <w:b w:val="false"/>
          <w:i w:val="false"/>
          <w:color w:val="000000"/>
          <w:sz w:val="28"/>
        </w:rPr>
        <w:t>
      22-тармақ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17" w:id="6"/>
    <w:p>
      <w:pPr>
        <w:spacing w:after="0"/>
        <w:ind w:left="0"/>
        <w:jc w:val="both"/>
      </w:pPr>
      <w:r>
        <w:rPr>
          <w:rFonts w:ascii="Times New Roman"/>
          <w:b w:val="false"/>
          <w:i w:val="false"/>
          <w:color w:val="000000"/>
          <w:sz w:val="28"/>
        </w:rPr>
        <w:t>
      28.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6"/>
    <w:bookmarkStart w:name="z18" w:id="7"/>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