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216e" w14:textId="4bc21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"Қосшы қаласы мәслихатының аппараты" мемлекеттік мекемесінің "Б" корпусы мемлекеттік әкімшілік қызметшілерінің қызметін бағалаудың әдістемесін бекіту туралы" Қосшы қаласы мәслихатының 2022 жылғы 29 қыркүйектегі №103/21-7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Қосшы қаласы мәслихатының 2023 жылғы 24 сәуірдегі № 11/2-8 шешімі. Күші жойылды - Ақмола облысы Қосшы қаласы мәслихатының 2024 жылғы 20 қарашадағы № 146/34-8 шешімімен.</w:t>
      </w:r>
    </w:p>
    <w:p>
      <w:pPr>
        <w:spacing w:after="0"/>
        <w:ind w:left="0"/>
        <w:jc w:val="both"/>
      </w:pPr>
      <w:r>
        <w:rPr>
          <w:rFonts w:ascii="Times New Roman"/>
          <w:b w:val="false"/>
          <w:i w:val="false"/>
          <w:color w:val="ff0000"/>
          <w:sz w:val="28"/>
        </w:rPr>
        <w:t xml:space="preserve">
      Ескерту. Күші жойылды - Ақмола облысы Қосшы қаласы мәслихатының 20.11.2024 </w:t>
      </w:r>
      <w:r>
        <w:rPr>
          <w:rFonts w:ascii="Times New Roman"/>
          <w:b w:val="false"/>
          <w:i w:val="false"/>
          <w:color w:val="ff0000"/>
          <w:sz w:val="28"/>
        </w:rPr>
        <w:t>№ 146/34-8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Қосшы қаласының мәслихаты ШЕШТІ:</w:t>
      </w:r>
    </w:p>
    <w:bookmarkEnd w:id="0"/>
    <w:bookmarkStart w:name="z2" w:id="1"/>
    <w:p>
      <w:pPr>
        <w:spacing w:after="0"/>
        <w:ind w:left="0"/>
        <w:jc w:val="both"/>
      </w:pPr>
      <w:r>
        <w:rPr>
          <w:rFonts w:ascii="Times New Roman"/>
          <w:b w:val="false"/>
          <w:i w:val="false"/>
          <w:color w:val="000000"/>
          <w:sz w:val="28"/>
        </w:rPr>
        <w:t xml:space="preserve">
      1. "Ақмола облысы "Қосшы қаласы мәслихатының аппараты" мемлекеттік мекемесінің "Б" корпусы мемлекеттік әкімшілік қызметшілерінің қызметін бағалаудың әдістемесін бекіту туралы" Қосшы қаласы мәслихатының 2022 жылғы 29 қыркүйектегі № 103/21-7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шешімімен бекітілген Ақмола облысы "Қосшы қаласы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бастап қолоданысқа енгізіледі және 2023 жылғы 15 ақпанынан бастап туындаған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Қосшы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Ә.Қуатбеков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2023 жылғы 24 сәуірдегі</w:t>
            </w:r>
            <w:r>
              <w:br/>
            </w:r>
            <w:r>
              <w:rPr>
                <w:rFonts w:ascii="Times New Roman"/>
                <w:b w:val="false"/>
                <w:i w:val="false"/>
                <w:color w:val="000000"/>
                <w:sz w:val="20"/>
              </w:rPr>
              <w:t>№ 11/2-8 шешімімен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2023 жылғы "29"</w:t>
            </w:r>
            <w:r>
              <w:br/>
            </w:r>
            <w:r>
              <w:rPr>
                <w:rFonts w:ascii="Times New Roman"/>
                <w:b w:val="false"/>
                <w:i w:val="false"/>
                <w:color w:val="000000"/>
                <w:sz w:val="20"/>
              </w:rPr>
              <w:t>қыркүйегіндегі</w:t>
            </w:r>
            <w:r>
              <w:br/>
            </w:r>
            <w:r>
              <w:rPr>
                <w:rFonts w:ascii="Times New Roman"/>
                <w:b w:val="false"/>
                <w:i w:val="false"/>
                <w:color w:val="000000"/>
                <w:sz w:val="20"/>
              </w:rPr>
              <w:t>№ 103/21-7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Ақмола облысы "Қосшы қаласы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Ақмола облысы "Қосшы қаласы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(бұдан әрі - Үлгілік әдістеме) сәйкес әзірленді және Ақмола облысы "Қосшы қаласы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Start w:name="z8" w:id="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9" w:id="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10" w:id="8"/>
    <w:p>
      <w:pPr>
        <w:spacing w:after="0"/>
        <w:ind w:left="0"/>
        <w:jc w:val="left"/>
      </w:pPr>
      <w:r>
        <w:rPr>
          <w:rFonts w:ascii="Times New Roman"/>
          <w:b/>
          <w:i w:val="false"/>
          <w:color w:val="000000"/>
        </w:rPr>
        <w:t xml:space="preserve"> 4-тарау. 360 әдісі бойынша бағалау тәртібі</w:t>
      </w:r>
    </w:p>
    <w:bookmarkEnd w:id="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11" w:id="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9"/>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