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cc65" w14:textId="d8ac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23 желтоқсандағы № 35/2 "2023-2025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 14.04.2023 №8С-2/3, Есіл ауданының (Ақмола облысы) мәслихаты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Есіл қаласының, Красногорский кентінің, ауылдардың және ауылдық округтердің бюджеттері туралы" 2022 жылғы 23 желтоқсандағы № 35/2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315563,4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(- 2127,4)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27022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(- 392)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195854,6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(- 705,6)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81589,8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(- 481,8)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57056,7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(- 27,7)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130563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(- 1553)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37006,9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24184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(- 494)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25591,4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170008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(- 106)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26935,2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(- 1238,2)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23276,1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(- 75,1)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21162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35403,8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(- 246,8)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23632,4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369,4 мың теңге.";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сәуір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Красивинский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Красногорский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Московский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Свободный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