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8221" w14:textId="7848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23 желтоқсандағы № 35/2 "2023-2025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26 қазандағы № 8С-10/3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Есіл қаласының, Красногорский кентінің, ауылдардың және ауылдық округтердің бюджеттері туралы" 2022 жылғы 23 желтоқсандағы № 35/2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Есіл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332475,7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228076,7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334603,1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(- 2127,4)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Ақсай ауылының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(- 392)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Бұзылық ауылдық округінің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170831,8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164837,8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171543,4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(- 711,6)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Двуречный ауылдық округінің бюджеті тиісінше 10, 11 және 12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74705,8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62440,8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(- 481,8)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Жаныспай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29137,8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Заречный ауылдық округінің бюджеті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114902,8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103701,8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116455,8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(- 1553)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Знаменка ауылының бюджеті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34290,5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Интернациональный ауылдық округінің бюджеті тиісінше 22, 23 және 24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(- 494)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Қаракөл ауылдық округінің бюджеті тиісінше 25, 26 және 27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26767,6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Красивинский ауылдық округінің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153501,2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141938,2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153607,2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(- 106)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Красногорский кентінің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27848,2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21661,2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(- 1238,2)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Орловка ауылының бюджеті тиісінше 37, 38 және 39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Свободный ауылдық округінің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(- 266)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Юбилейный ауылдық округінің бюджеті тиісінше 43, 44 және 45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24623,6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369,4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Красивинский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Красногорский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Московский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Свободный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Юбилейный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