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8221" w14:textId="784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23 желтоқсандағы № 35/2 "2023-2025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26 қазандағы № 8С-10/3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"2023-2025 жылдарға арналған Есіл қаласының, Красногорский кентінің, ауылдардың және ауылдық округтердің бюджеттері туралы" 2022 жылғы 23 желтоқсандағы № 35/2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Есіл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332475,7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228076,7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334603,1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(- 2127,4)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Ақсай ауылының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(- 392)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Бұзылық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170831,8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164837,8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171543,4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(- 711,6)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Двуречный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74705,8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62440,8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75187,6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(- 481,8)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Жаныспай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29137,8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Заречный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114902,8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103701,8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116455,8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(- 1553)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Знаменка ауылының бюджеті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34290,5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27297,5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(- 360,9)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Интернациональный ауылдық округінің бюджеті тиісінше 22, 23 және 24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(- 494)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Қаракөл ауылдық округінің бюджеті тиісінше 25, 26 және 27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26767,6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19863,6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Красивинский ауылдық округінің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153501,2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141938,2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153607,2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(- 106)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Красногорский кентінің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27848,2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21661,2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(- 1238,2)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Орловка ауылының бюджеті тиісінше 37, 38 және 39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Свободный ауылдық округінің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37432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(- 266)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2023-2025 жылдарға арналған Юбилейный ауылдық округінің бюджеті тиісінше 43, 44 және 45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24623,6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(- 369,4)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369,4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Бұзылық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Двуречный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Жаныспай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Знаменка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Интернациональный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Красивинский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Красногорский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Московский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Орловка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Свободный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Юбилейный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