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cef1" w14:textId="36b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23 желтоқсандағы № 7С-42/2 "2023-2025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30 маусымдағы № 8С-8/2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Жарқайың ауданының Державин қаласы, ауылдық округтері мен ауылдарының бюджеттері туралы" 2022 жылғы 23 желтоқсандағы № 7С-42/2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Державин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- 260 948,0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- 265 167,0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- 4 219,0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- 4 219,0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бюджеттік субвенциялар 14 289,0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ағымдағы нысаналы трансферттер 188 409,0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Уәлихан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- 34 033,0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- 42 233,2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- 8200,2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бюджеттік бюджеттік субвенциялар 12 936,0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ағымдағы нысаналы трансферттер 14 939,0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Костычево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- 31 436,9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пайдалану)- 5 239,9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бюджеттік бюджеттік субвенциялар 10 463,0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ағымдағы нысаналы трансферттер 11 424,0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Нахимов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- 25 592,0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- 26 786,9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- 1 194,9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бюджеттік бюджеттік субвенциялар 12 597,0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ағымдағы нысаналы трансферттер 9 912,0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Отрадный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-29 339,0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пайдалану)- 1 986,8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бюджеттік бюджеттік субвенциялар 11 644,0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ағымдағы нысаналы трансферттер 14 395,0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Жаңадала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- 60 313,0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- 61 427,4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пайдалану)- 1 114,4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бюджеттік бюджеттік субвенциялар 14 666,0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ағымдағы нысаналы трансферттер 37 645,0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Бірсуат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- 27 972,7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-2 614,7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- 2 614,7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бюджеттік бюджеттік субвенциялар 11 415,0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ағымдағы нысаналы трансферттер 9 968,0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Құмсуат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- 22 276,0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- 754,5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бюджеттік бюджеттік субвенциялар 12 740,0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ағымдағы нысаналы трансферттер 7 914,0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Львов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- 23 063,0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-1 508,0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- 1 508,0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бюджеттік бюджеттік субвенциялар 12530,0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ағымдағы нысаналы трансферттер 8871,0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Пригород ауылының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- 30 131,6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- 191,6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бюджеттік бюджеттік субвенциялар 12312,0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ағымдағы нысаналы трансферттер 16020,0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Пятигор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- 116 256,0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бюджеттік бюджеттік субвенциялар 12 363,0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ағымдағы нысаналы трансферттер 102 019,0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Тасөткел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- 24 946,0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- 25 113,7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-167,7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бюджеттік бюджеттік субвенциялар 11 967,0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ағымдағы нысаналы трансферттер 11 463,0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Үшқарасу ауылының бюджеті тиісінше 46, 47 және 48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-1 236,4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- 1 236,4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бюджеттік бюджеттік субвенциялар 12 283,0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ағымдағы нысаналы трансферттер 8 531,0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Шойындыкөл ауылының бюджеті тиісінше 49, 50 және 51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- 31 748,0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- 635,2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бюджеттік бюджеттік субвенциялар 12 339,0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ағымдағы нысаналы трансферттер 13 962,0 мың теңге сомасында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