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b421" w14:textId="3a7b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27/2 "2023-2025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20 шілдедегі № 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Сандықтау ауданының ауылдық округтерінің және Мәдениет ауылының бюджеттері туралы" 2022 жылғы 27 желтоқсандағы № 27/2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Балкашин ауылдық округінің бюджеті тиісінше 1, 1-1 және 1-2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510 189,9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458 146,9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513 483,6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2023–2025 жылдарға арналған Барақпай ауылдық округінің бюджеті тиісінше 2, 2-1 және 2-2-қосымшаларға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2023–2025 жылдарға арналған Бірлік ауылдық округінің бюджеті тиісінше 4, 4-1 және 4-2-қосымшаларға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2023–2025 жылдарға арналған Васильев ауылдық округінің бюджеті тиісінше 5, 5-1 және 5-2-қосымшаларға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2023–2025 жылдарға арналған Веселов ауылдық округінің бюджеті тиісінше 6, 6-1 және 6-2-қосымшаларға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2023–2025 жылдарға арналған Жамбыл ауылдық округінің бюджеті тиісінше 7, 7-1 және 7-2-қосымшаларға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2023–2025 жылдарға арналған Каменск ауылдық округінің бюджеті тиісінше 8, 8-1 және 8-2-қосымшаларға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2023–2025 жылдарға арналған Лесной ауылдық округінің бюджеті тиісінше 9, 9-1 және 9-2-қосымшаларға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106 836,8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102 406,8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2023–2025 жылдарға арналған Максимов ауылдық округінің бюджеті тиісінше 11, 11-1 және 11-2-қосымшаларға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2023–2024 жылдарға арналған Новоникольск ауылдық округінің бюджеті тиісінше 12, 12-1 және 12-2-қосымшаларға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29 215,1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2023–2025 жылдарға арналған Сандықтау ауылдық округінің бюджеті тиісінше 13, 13-1 және 13-2-қосымшаларға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33 107,6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354,2 мың теңге.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Васильев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Максимов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Новоникольск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Сандықтау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жөндеу бойынша сметаға ведомствалық сараптаманы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