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0ca9" w14:textId="82c0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 наурыздағы № 199 бұйрығы</w:t>
      </w:r>
    </w:p>
    <w:p>
      <w:pPr>
        <w:spacing w:after="0"/>
        <w:ind w:left="0"/>
        <w:jc w:val="left"/>
      </w:pP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Алматы облысы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"8. Департаменттің орналасқан жері: индексі 040800, Қазақстан Республикасы, Алматы облысы, Қонаев қаласы, Индустриальная көшесі, 1.";</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Алматы және Жетісу облыстары бойынша Қылмыстық-атқару жүйесі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Түрксіб ауданы, Красногорская көшесі 73 А.".</w:t>
      </w:r>
    </w:p>
    <w:bookmarkEnd w:id="4"/>
    <w:bookmarkStart w:name="z8" w:id="5"/>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(О.Ж. Жолдасов)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көшірмесін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бұйрыққа қол қойылған күнінен бастап жиырма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Ішкі істер органдарының аумақтық бөлімшелерінің бастықтары Қазақстан Республикасының заңнамасында белгіленген тәртіпте тіркеуші органдарда құрылтай құжаттарындағы өзгерістерді тіркеуді қамтамасыз етсін.</w:t>
      </w:r>
    </w:p>
    <w:bookmarkEnd w:id="9"/>
    <w:bookmarkStart w:name="z13" w:id="10"/>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генерал-полковнигі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