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ec7b" w14:textId="142e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11 мамырдағы № 30 "Темір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Темір аудандық мәслихатының 2023 жылғы 23 маусымдағы № 62 шешімі</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11 мамырдағы № 30 "Темір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мен толықтырулар енгiзiлсiн: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жаңа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мәслихат аппаратында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2"/>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w:t>
      </w:r>
    </w:p>
    <w:p>
      <w:pPr>
        <w:spacing w:after="0"/>
        <w:ind w:left="0"/>
        <w:jc w:val="both"/>
      </w:pPr>
      <w:r>
        <w:rPr>
          <w:rFonts w:ascii="Times New Roman"/>
          <w:b w:val="false"/>
          <w:i w:val="false"/>
          <w:color w:val="000000"/>
          <w:sz w:val="28"/>
        </w:rPr>
        <w:t>
      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мәслихат төрағасының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жоғарылату бағытта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мәслихат төрағасымен бекітіледі және хаттамада тіркеледі.</w:t>
      </w:r>
    </w:p>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10" w:id="3"/>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