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7d1" w14:textId="d0da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Жамбыл ауданы Беріктас ауылдық округіне қарасты Беріктас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Беріктас ауылдық округі әкімінің 2023 жылғы 22 қарашадағы № 11-05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"Қазақстан Республикасындағы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24 қарашадағы Алматы облысының ономастикалық комиссиясының қорытындысы негізінде және Беріктас ауылдық округі Беріктас ауылы халқының пікірін ескере отырып, Беріктас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Беріктас ауылдық округі Беріктас ауылының келесі көшелеріне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Камал Қармысов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Дінмұхамед Ахметұлы Қонаев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Ыбырай Алтынсарин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Абай Құнанбаев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Жамбыл Жабайұлы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Абылай хан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Райымбек Түкеұлы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Мұхтар Омарханұлы Әуезов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№9Қарасай Алтынайұлы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Серік Тұрымбекұлы Әшімов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Әли батыр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Әжібай ата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Тоқа Чажабаев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Достық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Мектеп көшесі;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Мәншүк Мәметова көшесі;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Бәйдібек баба көшесі.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Беріктас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С.Молдагалыкова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