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8ae0" w14:textId="53f8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активтердің құнын және олардың түрлерінің тізбесін айқындау, жариялау тәртібі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31 мамырдағы № 578 және "Астана" халықаралық қаржы орталығы Басқарушысының 2023 жылғы 23 маусымдағы № 208 бірлескен бұйрығы. Күші жойылды - Қазақстан Республикасы Қаржы министрінің 2024 жылғы 29 наурыздағы № 170 және "Астана" халықаралық қаржы орталығы Басқарушысының 2024 жылғы 29 наурыздағы № 217 бірлескен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29.03.2024 </w:t>
      </w:r>
      <w:r>
        <w:rPr>
          <w:rFonts w:ascii="Times New Roman"/>
          <w:b w:val="false"/>
          <w:i w:val="false"/>
          <w:color w:val="ff0000"/>
          <w:sz w:val="28"/>
        </w:rPr>
        <w:t>№ 170</w:t>
      </w:r>
      <w:r>
        <w:rPr>
          <w:rFonts w:ascii="Times New Roman"/>
          <w:b w:val="false"/>
          <w:i w:val="false"/>
          <w:color w:val="ff0000"/>
          <w:sz w:val="28"/>
        </w:rPr>
        <w:t xml:space="preserve"> және "Астана" халықаралық қаржы орталығы Басқарушысының 29.03.2024 № 217 (15.04.2024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кодексі (Салық кодексі) 227-бабының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БҰЙЫРАМЫЗ: </w:t>
      </w:r>
    </w:p>
    <w:bookmarkEnd w:id="0"/>
    <w:bookmarkStart w:name="z2" w:id="1"/>
    <w:p>
      <w:pPr>
        <w:spacing w:after="0"/>
        <w:ind w:left="0"/>
        <w:jc w:val="both"/>
      </w:pPr>
      <w:r>
        <w:rPr>
          <w:rFonts w:ascii="Times New Roman"/>
          <w:b w:val="false"/>
          <w:i w:val="false"/>
          <w:color w:val="000000"/>
          <w:sz w:val="28"/>
        </w:rPr>
        <w:t xml:space="preserve">
      1. Қоса беріліп отырған Цифрлық активтердің құнын және олардың түрлерінің тізбесін айқындау, жариялау тәртібі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осы бірлескен бұйрықтың көшірмесін Қазақстан Республикасының заңнамасында белгіленген тәртіппен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және "Астана" халықаралық қаржы орталығының Қаржылық қызметтер көрсетуді реттеу жөніндегі комитеті осы бірлескен бұйрықты заңнамада белгіленген тәртіппен Қазақстан Республикасы Қаржы министрлігі мен "Астана" халықаралық қаржы орталығының интернет-ресурстарында орналастыруды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Республикасының Қаржы министрлігінің Мемлекеттік кірістер комитеті осы бірлескен бұйрықтың техникалық орындалуын қамтамасыз етеді.</w:t>
      </w:r>
    </w:p>
    <w:bookmarkEnd w:id="4"/>
    <w:bookmarkStart w:name="z6" w:id="5"/>
    <w:p>
      <w:pPr>
        <w:spacing w:after="0"/>
        <w:ind w:left="0"/>
        <w:jc w:val="both"/>
      </w:pPr>
      <w:r>
        <w:rPr>
          <w:rFonts w:ascii="Times New Roman"/>
          <w:b w:val="false"/>
          <w:i w:val="false"/>
          <w:color w:val="000000"/>
          <w:sz w:val="28"/>
        </w:rPr>
        <w:t>
      5. Осы бірлескен бұйрықтың атқарылуын бақылауға алу Қазақстан Республикасы Қаржы министрлігінің Мемлекеттік кірістер комитетінің төрағасы және "Астана" халықаралық қаржы орталығының Қаржылық қызметтер көрсетуді реттеу жөніндегі комитетінің басшысына жүктеледі.</w:t>
      </w:r>
    </w:p>
    <w:bookmarkEnd w:id="5"/>
    <w:bookmarkStart w:name="z7" w:id="6"/>
    <w:p>
      <w:pPr>
        <w:spacing w:after="0"/>
        <w:ind w:left="0"/>
        <w:jc w:val="both"/>
      </w:pPr>
      <w:r>
        <w:rPr>
          <w:rFonts w:ascii="Times New Roman"/>
          <w:b w:val="false"/>
          <w:i w:val="false"/>
          <w:color w:val="000000"/>
          <w:sz w:val="28"/>
        </w:rPr>
        <w:t>
      6. Осы бірлескен бұйрық тараптармен қол қойылған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халықаралық қаржы</w:t>
            </w:r>
          </w:p>
          <w:p>
            <w:pPr>
              <w:spacing w:after="20"/>
              <w:ind w:left="20"/>
              <w:jc w:val="both"/>
            </w:pPr>
          </w:p>
          <w:p>
            <w:pPr>
              <w:spacing w:after="20"/>
              <w:ind w:left="20"/>
              <w:jc w:val="both"/>
            </w:pPr>
            <w:r>
              <w:rPr>
                <w:rFonts w:ascii="Times New Roman"/>
                <w:b w:val="false"/>
                <w:i/>
                <w:color w:val="000000"/>
                <w:sz w:val="20"/>
              </w:rPr>
              <w:t>орталығының басқарушысы</w:t>
            </w:r>
          </w:p>
          <w:p>
            <w:pPr>
              <w:spacing w:after="20"/>
              <w:ind w:left="20"/>
              <w:jc w:val="both"/>
            </w:pPr>
            <w:r>
              <w:rPr>
                <w:rFonts w:ascii="Times New Roman"/>
                <w:b w:val="false"/>
                <w:i/>
                <w:color w:val="000000"/>
                <w:sz w:val="20"/>
              </w:rPr>
              <w:t>"___" ________ 2023 жыл</w:t>
            </w:r>
          </w:p>
          <w:p>
            <w:pPr>
              <w:spacing w:after="20"/>
              <w:ind w:left="20"/>
              <w:jc w:val="both"/>
            </w:pPr>
            <w:r>
              <w:rPr>
                <w:rFonts w:ascii="Times New Roman"/>
                <w:b w:val="false"/>
                <w:i/>
                <w:color w:val="000000"/>
                <w:sz w:val="20"/>
              </w:rPr>
              <w:t>___________Р. Бектұров</w:t>
            </w:r>
          </w:p>
          <w:p>
            <w:pPr>
              <w:spacing w:after="20"/>
              <w:ind w:left="20"/>
              <w:jc w:val="both"/>
            </w:pPr>
          </w:p>
          <w:p>
            <w:pPr>
              <w:spacing w:after="20"/>
              <w:ind w:left="20"/>
              <w:jc w:val="both"/>
            </w:pPr>
            <w:r>
              <w:rPr>
                <w:rFonts w:ascii="Times New Roman"/>
                <w:b w:val="false"/>
                <w:i/>
                <w:color w:val="000000"/>
                <w:sz w:val="20"/>
              </w:rPr>
              <w:t xml:space="preserv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РеспубликасыПремьер-Министрінің орынбасары –Қазақстан РеспубликасыҚаржы министрі"___" ________ 2023 жыл___________Е.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"__" _____</w:t>
            </w:r>
            <w:r>
              <w:br/>
            </w:r>
            <w:r>
              <w:rPr>
                <w:rFonts w:ascii="Times New Roman"/>
                <w:b w:val="false"/>
                <w:i w:val="false"/>
                <w:color w:val="000000"/>
                <w:sz w:val="20"/>
              </w:rPr>
              <w:t>№___ және</w:t>
            </w:r>
            <w:r>
              <w:br/>
            </w:r>
            <w:r>
              <w:rPr>
                <w:rFonts w:ascii="Times New Roman"/>
                <w:b w:val="false"/>
                <w:i w:val="false"/>
                <w:color w:val="000000"/>
                <w:sz w:val="20"/>
              </w:rPr>
              <w:t>"Астана" халықаралық</w:t>
            </w:r>
            <w:r>
              <w:br/>
            </w:r>
            <w:r>
              <w:rPr>
                <w:rFonts w:ascii="Times New Roman"/>
                <w:b w:val="false"/>
                <w:i w:val="false"/>
                <w:color w:val="000000"/>
                <w:sz w:val="20"/>
              </w:rPr>
              <w:t>қаржы орталығының</w:t>
            </w:r>
            <w:r>
              <w:br/>
            </w:r>
            <w:r>
              <w:rPr>
                <w:rFonts w:ascii="Times New Roman"/>
                <w:b w:val="false"/>
                <w:i w:val="false"/>
                <w:color w:val="000000"/>
                <w:sz w:val="20"/>
              </w:rPr>
              <w:t>басқарушысының</w:t>
            </w:r>
            <w:r>
              <w:br/>
            </w:r>
            <w:r>
              <w:rPr>
                <w:rFonts w:ascii="Times New Roman"/>
                <w:b w:val="false"/>
                <w:i w:val="false"/>
                <w:color w:val="000000"/>
                <w:sz w:val="20"/>
              </w:rPr>
              <w:t>2023 жылғы "___" ______</w:t>
            </w:r>
            <w:r>
              <w:br/>
            </w:r>
            <w:r>
              <w:rPr>
                <w:rFonts w:ascii="Times New Roman"/>
                <w:b w:val="false"/>
                <w:i w:val="false"/>
                <w:color w:val="000000"/>
                <w:sz w:val="20"/>
              </w:rPr>
              <w:t>№____ бірлескен</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Цифрлық активтердің құнын және олардың түрлерінің тізбесін айқындау, жариялау тәртібі туралы қағидалар </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Цифрлық активтердің құнын және олардың түрлерінің тізбесін айқындау, жариялау тәртібі туралы қағидалар (бұдан әрі – Қағидалар) "Салық және бюджетке төленетін басқа да міндетті төлемдер туралы" Қазақстан Республикасы Кодексінің (Салық кодексі) 227-1-бабының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цифрлық активтердің құнын және олардың түрлерінің тізбесін айқындау, жариялау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p>
      <w:pPr>
        <w:spacing w:after="0"/>
        <w:ind w:left="0"/>
        <w:jc w:val="both"/>
      </w:pPr>
      <w:r>
        <w:rPr>
          <w:rFonts w:ascii="Times New Roman"/>
          <w:b w:val="false"/>
          <w:i w:val="false"/>
          <w:color w:val="000000"/>
          <w:sz w:val="28"/>
        </w:rPr>
        <w:t>
      цифрлық актив – цифрлық код беріліп, оның ішінде криптография және компьютерлік есептеу құралдары қолданыла отырып электрондық-цифрлық нысанда құрылған, деректердің таратылған платформасы технологиясының негізінде тіркелген және ақпараттың өзгермейтіндігімен қамтамасыз етілген мүлік;</w:t>
      </w:r>
    </w:p>
    <w:p>
      <w:pPr>
        <w:spacing w:after="0"/>
        <w:ind w:left="0"/>
        <w:jc w:val="both"/>
      </w:pPr>
      <w:r>
        <w:rPr>
          <w:rFonts w:ascii="Times New Roman"/>
          <w:b w:val="false"/>
          <w:i w:val="false"/>
          <w:color w:val="000000"/>
          <w:sz w:val="28"/>
        </w:rPr>
        <w:t>
      цифрлық активтер биржасы – цифрлық активтердің сауда-саттығын, шығарылуын, айналысын және сақталуын ұйымдастырушылық және техникалық жағынан қамтамасыз етуді жүзеге асыратын цифрлық платформа;</w:t>
      </w:r>
    </w:p>
    <w:p>
      <w:pPr>
        <w:spacing w:after="0"/>
        <w:ind w:left="0"/>
        <w:jc w:val="both"/>
      </w:pPr>
      <w:r>
        <w:rPr>
          <w:rFonts w:ascii="Times New Roman"/>
          <w:b w:val="false"/>
          <w:i w:val="false"/>
          <w:color w:val="000000"/>
          <w:sz w:val="28"/>
        </w:rPr>
        <w:t>
      цифрлық майнингтік пул – Қазақстан Республикасының цифрлық активтер туралы заңнамасына сәйкес аккредиттелген, цифрлық майнерлердің цифрлық майнингке арналған аппараттық-бағдарламалық кешенінің қуаттарын біріктіру қызметін ұсынатын, цифрлық майнерлердің бірлескен қызметінің нәтижесінде алынған цифрлық активтерді олардың арасында бөлуді жүзеге асыратын заңды тұлға.</w:t>
      </w:r>
    </w:p>
    <w:bookmarkStart w:name="z13" w:id="11"/>
    <w:p>
      <w:pPr>
        <w:spacing w:after="0"/>
        <w:ind w:left="0"/>
        <w:jc w:val="left"/>
      </w:pPr>
      <w:r>
        <w:rPr>
          <w:rFonts w:ascii="Times New Roman"/>
          <w:b/>
          <w:i w:val="false"/>
          <w:color w:val="000000"/>
        </w:rPr>
        <w:t xml:space="preserve"> 2-тарау. Цифрлық активтердің құнын айқындау тәртібі</w:t>
      </w:r>
    </w:p>
    <w:bookmarkEnd w:id="11"/>
    <w:bookmarkStart w:name="z14" w:id="12"/>
    <w:p>
      <w:pPr>
        <w:spacing w:after="0"/>
        <w:ind w:left="0"/>
        <w:jc w:val="both"/>
      </w:pPr>
      <w:r>
        <w:rPr>
          <w:rFonts w:ascii="Times New Roman"/>
          <w:b w:val="false"/>
          <w:i w:val="false"/>
          <w:color w:val="000000"/>
          <w:sz w:val="28"/>
        </w:rPr>
        <w:t xml:space="preserve">
      3. Цифрлық активтердің құны цифрлық майнинг пулының, осындай цифрлық активтерден алынған цифрлық майнинг жөніндегі қызметті жүзеге асыратын тұлғаның кірісін айқындау мақсатында кіріс алынған күнге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айқындалады.</w:t>
      </w:r>
    </w:p>
    <w:bookmarkEnd w:id="12"/>
    <w:bookmarkStart w:name="z15" w:id="13"/>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комитеті (бұдан әрі – Комитет) цифрлық активтердің құны туралы мәліметтерді, сондай-ақ цифрлық активтер туралы өзге ақпаратты беретін тұлғалармен жасалған шарт (бұдан әрі – Шарт) негізінде цифрлық активтердің құны туралы мәліметтерді жариялайды.</w:t>
      </w:r>
    </w:p>
    <w:bookmarkEnd w:id="13"/>
    <w:p>
      <w:pPr>
        <w:spacing w:after="0"/>
        <w:ind w:left="0"/>
        <w:jc w:val="both"/>
      </w:pPr>
      <w:r>
        <w:rPr>
          <w:rFonts w:ascii="Times New Roman"/>
          <w:b w:val="false"/>
          <w:i w:val="false"/>
          <w:color w:val="000000"/>
          <w:sz w:val="28"/>
        </w:rPr>
        <w:t xml:space="preserve">
      Мұндай Шарт болмаған жағдайда Комитет күн сайын CoinMarketCap (coinmarketcup.com) ашық дереккөзінің деректері бойынша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цифрлық активтердің құнын тәулік (24 сағат) ішінде цифрлық активтердің нарықтың капиталдандыру деректері мен цифрлық активтер айналымының көлемі туралы деректерге сүйене отырып айқындайды.</w:t>
      </w:r>
    </w:p>
    <w:p>
      <w:pPr>
        <w:spacing w:after="0"/>
        <w:ind w:left="0"/>
        <w:jc w:val="both"/>
      </w:pPr>
      <w:r>
        <w:rPr>
          <w:rFonts w:ascii="Times New Roman"/>
          <w:b w:val="false"/>
          <w:i w:val="false"/>
          <w:color w:val="000000"/>
          <w:sz w:val="28"/>
        </w:rPr>
        <w:t>
      Цифрлық активтердің құны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82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Р – тәуліктегі (24 сағат) цифрлық активтердің құны; </w:t>
      </w:r>
    </w:p>
    <w:p>
      <w:pPr>
        <w:spacing w:after="0"/>
        <w:ind w:left="0"/>
        <w:jc w:val="both"/>
      </w:pPr>
      <w:r>
        <w:rPr>
          <w:rFonts w:ascii="Times New Roman"/>
          <w:b w:val="false"/>
          <w:i w:val="false"/>
          <w:color w:val="000000"/>
          <w:sz w:val="28"/>
        </w:rPr>
        <w:t>
      Mcap – Америка Құрама Штаттарының долларындағы цифрлық активтердің нарықтағы капитализациясы;</w:t>
      </w:r>
    </w:p>
    <w:p>
      <w:pPr>
        <w:spacing w:after="0"/>
        <w:ind w:left="0"/>
        <w:jc w:val="both"/>
      </w:pPr>
      <w:r>
        <w:rPr>
          <w:rFonts w:ascii="Times New Roman"/>
          <w:b w:val="false"/>
          <w:i w:val="false"/>
          <w:color w:val="000000"/>
          <w:sz w:val="28"/>
        </w:rPr>
        <w:t>
      V – тәулікте (24 сағат) цифрлық активтердің сауда-саттық көлемі;</w:t>
      </w:r>
    </w:p>
    <w:p>
      <w:pPr>
        <w:spacing w:after="0"/>
        <w:ind w:left="0"/>
        <w:jc w:val="both"/>
      </w:pPr>
      <w:r>
        <w:rPr>
          <w:rFonts w:ascii="Times New Roman"/>
          <w:b w:val="false"/>
          <w:i w:val="false"/>
          <w:color w:val="000000"/>
          <w:sz w:val="28"/>
        </w:rPr>
        <w:t>
      К – кіріс алынған күннің алдындағы соңғы жұмыс күні айқындалған валюта айырбастаудың нарықтық бағамы.</w:t>
      </w:r>
    </w:p>
    <w:bookmarkStart w:name="z16" w:id="14"/>
    <w:p>
      <w:pPr>
        <w:spacing w:after="0"/>
        <w:ind w:left="0"/>
        <w:jc w:val="both"/>
      </w:pPr>
      <w:r>
        <w:rPr>
          <w:rFonts w:ascii="Times New Roman"/>
          <w:b w:val="false"/>
          <w:i w:val="false"/>
          <w:color w:val="000000"/>
          <w:sz w:val="28"/>
        </w:rPr>
        <w:t>
      5. Цифрлық активтер биржасының кірісін айқындау мақсатында алынған цифрлық активтердің құны кіріс алынған сәттегі цифрлық активтердің қолданылатын құны бойынша айқындалады.</w:t>
      </w:r>
    </w:p>
    <w:bookmarkEnd w:id="14"/>
    <w:bookmarkStart w:name="z17" w:id="15"/>
    <w:p>
      <w:pPr>
        <w:spacing w:after="0"/>
        <w:ind w:left="0"/>
        <w:jc w:val="both"/>
      </w:pPr>
      <w:r>
        <w:rPr>
          <w:rFonts w:ascii="Times New Roman"/>
          <w:b w:val="false"/>
          <w:i w:val="false"/>
          <w:color w:val="000000"/>
          <w:sz w:val="28"/>
        </w:rPr>
        <w:t>
      6. Белгілі бір шетел валютасына тіркелген құны бар цифрлық активтер айналым жасалған күннің алдындағы соңғы жұмыс күні айқындалған тиісті шетел валютасын айырбастаудың нарықтық бағамын қолдана отырып, Қазақстан Республикасының Ұлттық валютасына қайта есептеледі.</w:t>
      </w:r>
    </w:p>
    <w:bookmarkEnd w:id="15"/>
    <w:bookmarkStart w:name="z18" w:id="16"/>
    <w:p>
      <w:pPr>
        <w:spacing w:after="0"/>
        <w:ind w:left="0"/>
        <w:jc w:val="left"/>
      </w:pPr>
      <w:r>
        <w:rPr>
          <w:rFonts w:ascii="Times New Roman"/>
          <w:b/>
          <w:i w:val="false"/>
          <w:color w:val="000000"/>
        </w:rPr>
        <w:t xml:space="preserve"> 3-тарау. Цифрлық активтердің құнын және олардың түрлерінің тізбесін жариялау тәртібі</w:t>
      </w:r>
    </w:p>
    <w:bookmarkEnd w:id="16"/>
    <w:bookmarkStart w:name="z19" w:id="17"/>
    <w:p>
      <w:pPr>
        <w:spacing w:after="0"/>
        <w:ind w:left="0"/>
        <w:jc w:val="both"/>
      </w:pPr>
      <w:r>
        <w:rPr>
          <w:rFonts w:ascii="Times New Roman"/>
          <w:b w:val="false"/>
          <w:i w:val="false"/>
          <w:color w:val="000000"/>
          <w:sz w:val="28"/>
        </w:rPr>
        <w:t xml:space="preserve">
      7. Комитет ай сайын деректер жарияланған айдан кейінгі айдың 10-ы күнінен кешіктірмей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цифрлық активтердің құны туралы мәліметтерді Комитеттің интернет-ресурсында жариялайды.</w:t>
      </w:r>
    </w:p>
    <w:bookmarkEnd w:id="17"/>
    <w:bookmarkStart w:name="z20" w:id="18"/>
    <w:p>
      <w:pPr>
        <w:spacing w:after="0"/>
        <w:ind w:left="0"/>
        <w:jc w:val="both"/>
      </w:pPr>
      <w:r>
        <w:rPr>
          <w:rFonts w:ascii="Times New Roman"/>
          <w:b w:val="false"/>
          <w:i w:val="false"/>
          <w:color w:val="000000"/>
          <w:sz w:val="28"/>
        </w:rPr>
        <w:t>
      8. Bitcoin (BTC), BitcoinCash (BCH), Dash (DASH), Dogecoin (Doge), EthereumClassic (ETC), Horrizen (ZEN), Litecoin (LTC), Monero (XMR), Litecoin (LTC), Siacoin (SC), Thronix (TRX), Zcash (ZEC) цифрлық активтердің құны жариялануға жатады.</w:t>
      </w:r>
    </w:p>
    <w:bookmarkEnd w:id="18"/>
    <w:p>
      <w:pPr>
        <w:spacing w:after="0"/>
        <w:ind w:left="0"/>
        <w:jc w:val="both"/>
      </w:pPr>
      <w:r>
        <w:rPr>
          <w:rFonts w:ascii="Times New Roman"/>
          <w:b w:val="false"/>
          <w:i w:val="false"/>
          <w:color w:val="000000"/>
          <w:sz w:val="28"/>
        </w:rPr>
        <w:t>
      Құны жариялануға жататын цифрлық активтер түрлерінің тізбесі цифрлық майнинг пулының өтініші негізінде толықтырылады.</w:t>
      </w:r>
    </w:p>
    <w:p>
      <w:pPr>
        <w:spacing w:after="0"/>
        <w:ind w:left="0"/>
        <w:jc w:val="both"/>
      </w:pPr>
      <w:r>
        <w:rPr>
          <w:rFonts w:ascii="Times New Roman"/>
          <w:b w:val="false"/>
          <w:i w:val="false"/>
          <w:color w:val="000000"/>
          <w:sz w:val="28"/>
        </w:rPr>
        <w:t>
      Комитет цифрлық активтердің құнын жариялауды майнинг пулының өтініші негізінде, осындай өтінішті алған күннен кейінгі күннен бастап 1 (бір) жыл ішінде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