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78f" w14:textId="b05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28 желтоқсандағы № 38/234 "2023-2025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15 қарашадағы № 10/73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кенттер және ауылдық округтердің бюджеті туралы" 2022 жылғы 28 желтоқсандағы №38/234 (Нормативтік құқықтық актілерді мемлекеттік тіркеу тізілімінде № 177420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525 298,0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85 707,0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439 127,0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525 298,0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203 016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200 822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205 074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2 058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66 240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61 639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66 240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44 082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44 761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171 963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2 015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169 914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171 963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152 741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149 451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152 741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28 063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2 699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25 302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28 063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249 664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4 243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245 387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249 664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98 367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96 836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98 367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40 568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36 061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40 568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121 143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119 579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121 143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125 779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1 225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124 527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125 779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131 311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8 979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122 185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132 395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- 1 084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1 084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29 595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748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28 685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29 595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Жаңаарқа кентінің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8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Байдалы би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Мұқажан Жұмажанов атындағы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Ералиев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кентінің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Сейфуллин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Түгіскен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Орынбай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№10/73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аудандық бюджеттен төменгі тұрған бюджеттерге берілетін нысаналы ағымдағы трансферттер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