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bd72" w14:textId="2cd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29 желтоқсандағы XXVII сессиясының "2023-2025 жылдарға арналған кенттер, ауылдық округтер бюджеттері туралы" № 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25 мамырдағы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"2023-2025 жылдарға арналған кенттер, ауылдық округтер бюджеттері туралы" 2022 жылғы 29 желтоқсандағы №195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№176820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249 597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244 616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249 598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449 755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20 264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429 491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454 381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4 626 мың теңге: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194 119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192 683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309 645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276 031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332 459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- 22 814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22 814 мың теңге: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22 814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194 545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189 688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194 546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60 125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63 981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322 мың теңге: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66 449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64 266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67 226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777 мың теңге: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131 124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130 156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131 449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325 мың теңге: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42 686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39 868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103 124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98 553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103 125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572 365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565 975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572 876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511 мың теңге: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107 936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105 249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109 540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1 604 мың теңге: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46 211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43 413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мың теңге: 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379 678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371 239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379 679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113 310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109 730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113 316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 мың теңге: 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