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b330" w14:textId="c05b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2022 жылғы 29 желтоқсандағы XXVII сессиясының "2023-2025 жылдарға арналған кенттер, ауылдық округтер бюджеттері туралы" № 195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14 қарашадағы № 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"2023-2025 жылдарға арналған кенттер, ауылдық округтер бюджеттері туралы" 2022 жылғы 29 желтоқсандағы №195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№176820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443 499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4 981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438 518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443 500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378 037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20 264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357 773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382 663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- 4 626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4 626 мың теңге: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4 626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345 687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–343 688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345 688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293 139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39 114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254 025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315 953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- 22 814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22 814 мың теңге: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22 814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197 626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192 769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197 627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69 075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5 034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64 041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69 397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322 мың теңге: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56 933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54 750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57 710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- 777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777 мың теңге: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133 596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132 628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133 921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325 мың теңге: 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44 602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2 818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41 784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44 602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теңге: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95 128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5 075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90 053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95 129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370 950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6 390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364 560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371 461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511 мың теңге: 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511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90 924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88 237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92 528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1 604 мың теңге: 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1 604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53 613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2 901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50 713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53 635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 мың теңге: 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323 310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8 439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314 871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323 311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95 029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88 449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92 035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 мың теңге: 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мың теңге.";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2023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2023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2023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2023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2023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2023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2023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2023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2023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2023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3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кенттер, ауылдық округтер бюджеттеріне аудандық бюджеттен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