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1aa3" w14:textId="b961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Регламентін бекіту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17 қаңтардағы № 31-185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үлгілік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Кербұлақ аудандық мәслихаты ШЕШТІ :</w:t>
      </w:r>
    </w:p>
    <w:bookmarkEnd w:id="0"/>
    <w:bookmarkStart w:name="z8" w:id="1"/>
    <w:p>
      <w:pPr>
        <w:spacing w:after="0"/>
        <w:ind w:left="0"/>
        <w:jc w:val="both"/>
      </w:pPr>
      <w:r>
        <w:rPr>
          <w:rFonts w:ascii="Times New Roman"/>
          <w:b w:val="false"/>
          <w:i w:val="false"/>
          <w:color w:val="000000"/>
          <w:sz w:val="28"/>
        </w:rPr>
        <w:t>
      1. Кербұлақ аудандық мәслихатының Регламенті осы шешімнің қосымшасына сәйкес жаңа редакцияда бекітілсін.</w:t>
      </w:r>
    </w:p>
    <w:bookmarkEnd w:id="1"/>
    <w:bookmarkStart w:name="z9" w:id="2"/>
    <w:p>
      <w:pPr>
        <w:spacing w:after="0"/>
        <w:ind w:left="0"/>
        <w:jc w:val="both"/>
      </w:pPr>
      <w:r>
        <w:rPr>
          <w:rFonts w:ascii="Times New Roman"/>
          <w:b w:val="false"/>
          <w:i w:val="false"/>
          <w:color w:val="000000"/>
          <w:sz w:val="28"/>
        </w:rPr>
        <w:t xml:space="preserve">
      2. "Кербұлақ аудандық мәслихатының Регламентін бекіту туралы" Кербұлақ аудандық мәслихатының 2022 жылғы 28 қаңтардағы </w:t>
      </w:r>
      <w:r>
        <w:rPr>
          <w:rFonts w:ascii="Times New Roman"/>
          <w:b w:val="false"/>
          <w:i w:val="false"/>
          <w:color w:val="000000"/>
          <w:sz w:val="28"/>
        </w:rPr>
        <w:t>№ 17-90</w:t>
      </w:r>
      <w:r>
        <w:rPr>
          <w:rFonts w:ascii="Times New Roman"/>
          <w:b w:val="false"/>
          <w:i w:val="false"/>
          <w:color w:val="000000"/>
          <w:sz w:val="28"/>
        </w:rPr>
        <w:t xml:space="preserve"> "Кербұлақ аудандық мәслихатының Регламентін бекіту туралы"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Гүлмира Әбдіғалиқызы Рақымбековаға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"17" қаңтардағы № 31-185 шешіміне қосымша</w:t>
            </w:r>
          </w:p>
        </w:tc>
      </w:tr>
    </w:tbl>
    <w:bookmarkStart w:name="z13" w:id="4"/>
    <w:p>
      <w:pPr>
        <w:spacing w:after="0"/>
        <w:ind w:left="0"/>
        <w:jc w:val="left"/>
      </w:pPr>
      <w:r>
        <w:rPr>
          <w:rFonts w:ascii="Times New Roman"/>
          <w:b/>
          <w:i w:val="false"/>
          <w:color w:val="000000"/>
        </w:rPr>
        <w:t xml:space="preserve"> Мәслихаттың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Кербұлақ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 және ауыл округтердің әкімдері , жұмысы сессияда қаралатын ұйымдардың басшылары мен өзге де лауазымды адамдары шақырылады. Сессияға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2"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тарағасына,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төрағасы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