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38b7" w14:textId="a5a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2022 жылғы 5 сәуірдегі № 17/12 "Шахтинск қаласының мәдениет, тілдерді дамыту, дене шынықтыру және спорт бөлімі" мемлекеттік мекемесінің Ережесін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14 шілдедегі № 33/03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2022 жылғы 5 сәуірдегі №17/12 "Шахтинск қаласының мәдениет, тілдерді дамыту, дене шынықтыру және спорт бөлімі" мемлекеттік мекемесінің Ережесін бекіту туралы" қаулысымен бекітілген "Шахтинск қаласының мәдениет, тілдерді дамыту, дене шынықтыру және спорт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С.Б. Жаппаровқа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"Шахтинск қаласының мәдениет, тілдерді дамыту, дене шынықтыру және спорт бөлімі" мемлекеттік мекемесінің Ережесінің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тармақшамен толықтырылсын: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мекеменің қызметінде жобалық басқаруды жүзеге асыру.".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