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0140" w14:textId="5150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15 "2023-2025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24 тамыздағы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2022 жылғы 22 желтоқсаңдағы №15 "2023-2025 жылдарға арналған ауданның ауылдары, кенттері, ауылдық округтерінің бюджеттері туралы" (Нормативтік құқықтық актілерді мемлекеттік тіркеу тізілімінде №176592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425 916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42 530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428 550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152 885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22 700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130 185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158 961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59 771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148 524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136 615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11 909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152 940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4 416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306 053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23 727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10 572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271 754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306 588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145 334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18 520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5 416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121 398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148 400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68 809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65 345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69 534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86 294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10 010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76 284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86 778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112 763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13 139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99 624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115 508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2 745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239 285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9 488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229 357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240 503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76 307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134 805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36 271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7 092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91 269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136 465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61 994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5 303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56 691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63 227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45 478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42 597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45 549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49 242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1 609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47 633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49 461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73 293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1 896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71 397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73 450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63 262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4 376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58 886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63 870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35 176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1 945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33 231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39 740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4 564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56 079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54 324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57 038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80 789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8 926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71 863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80 875 мың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59 387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3 693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55 694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59 912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51 627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72 324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5 843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66 481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72 356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35 616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2023-2025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65 295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3 520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61 415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65 455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82 662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13 048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67 714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83 048 мың теңге;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2023-2025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67 857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5 564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62 293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67 966 мың теңге;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38 843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1 292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37 551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38 953 мың теңге;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68 872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6 946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61 926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71 001 мың теңге;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2 129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34 010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2023-2025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75 702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5 392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70 310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76 653 мың теңге;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951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81 932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2 118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79 814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82 394 мың теңге;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71 226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6 550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64 676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72 784 мың теңге;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2023-2025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62 133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51 001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10 045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64 538 мың теңге;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2 405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2023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