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fbd3" w14:textId="272f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2022 жылғы 22 желтоқсандағы № 208 "2023-2025 жылдарға арналған ауылдардың, кенттердің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27 сәуірдегі № 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2022 жылғы 22 желтоқсандағы № 208 "2023-2025 жылдарға арналған ауылдардың, кенттердің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176199 болып тіркелген 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373 821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342 296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379 621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5 800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5 800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– 2025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29 159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5 492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23 667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30 559 мың теңге;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– 2025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33 167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28 982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33 787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620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– 2025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215 262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210 217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–217 287мың теңге;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-2 025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2 025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2 025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– 2025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369 605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3 774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–365 128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370 380 мың теңге;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775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– 2025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37 803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6 256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31 547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38 502 мың теңге;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-699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– 2025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477 800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5 831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471 720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478 921мың теңге;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-1 121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1 121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1 121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 – 2025 жылдарға арналған Құлөнтпес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24 581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1 880мың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22701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25 003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422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 – 2025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28 396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2 514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25 882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29 546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 – 2025жылдарға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34 575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1 777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32 798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34 935 мың теңге;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 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 – 2025жылдарға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324 536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3 061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321 475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325 817 мың теңге;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-1 281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1 281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1 281 мың теңге.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 – 2025жылдарға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224 722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2 720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222 002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225 996 мың теңге;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-1 274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1 274 мың теңге.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 – 2025жылдарға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123 169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3 937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119 232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125 250 мың теңге;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-2 081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2 081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2 081 мың теңге.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 – 2025жылдарға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31 773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1 502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30 195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32 114 мың теңге; 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-341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341 мың теңге.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 – 2025жылдарға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25 991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2 156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23 835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27 991 мың теңге; 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2 000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2 000 мың теңге.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 – 2025жылдарға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39 160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5 907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33 253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39 706 мың теңге;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546 мың теңге.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 – 2025жылдарға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25 884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24 604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27 864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-1 980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1 980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1 980 мың теңге.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2023 – 2025жылдарға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26 652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4 302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22 350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31 472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-4 820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4 820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4 820 мың теңге.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5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Шұбаркөл кентінің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5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Мұзбел ауылының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6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 ауылының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6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Шахтерское ауылының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1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Ахмет ауылының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7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Жараспай ауылының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8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Ақмешіт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8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Байтуған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8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ауылының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8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Кертінді ауылының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39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ауылының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39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Соналы ауылының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39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Баршын ауылының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40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40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ауылының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