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2952" w14:textId="7b52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Сарыөзек ауылдық округінің жергілікті қоғамдастықтың бөлек жиындарын өткізу тәртібін және жергілікті қоғамдастық жиындарына қатысу үшін ауылдық округ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31 наурыздағы № 2/15 шешімі. Күші жойылды - Қарағанды облысы Осакаров аудандық мәслихатының 2023 жылғы 31 қазандағы № 12/113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"Жергілікті қоғамдастықтың жиындарын өткізудің үлгі қағидаларын бекіту туралы" Қазақстан Республикасы Үкіметінің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Сарыөзек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қоғамдастық жиындарына қатысу үшін Қарағанды облысы Осакаров ауданы Сарыөзек ауылдық округінің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Сарыөзек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Сарыөзек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үлгілік ережелеріне сәйкес әзірленді және Қарағанды облысы Осакаров ауданы Сарыөзек ауылдық округінің Сарыөзек ауылы, Шоқай бекеті, Шоқай ауылы, Русская Ивановка ауылы (бұдан әрі-Сарыөзек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Сарыөзек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Сарыөзек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Сарыөзек ауылдық округінің әкімі (бұдан әрі-Сарыөзек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Сарыөзек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Сарыөзек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Сарыөзек ауылдық округінің аумағындағы көшеден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Сарыөзек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Сарыөзек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Сарыөзек ауылдық округінің көшелерінің өкілдерінің үміткерлерін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Сарыөзек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Сарыөзек ауылдық округінің Сарыөзек ауылы, Шоқай бекеті, Шоқай ауылы Русская Ивановка ауылы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округінің, Сарыөзек ауылы, Шоқай бекеті, Шоқай ауылы, Русская Ивановка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Байтайлақ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