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8ab7" w14:textId="ef48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мәдениет, спорт және туризм салаларындағы білім беру ұйымдарында жоғары және жоғары оқу орнынан кейінгі білімі бар, сондай-ақ техникалық және кәсіптік, орта білімнен кейінгі білімі бар кадрларды даярлауға 2023 – 2024 оқу жылына арналған мемлекеттік білім беру тапсырысын орналастыру және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23 тамыздағы № 233 бұйрығы. Күші жойылды - Қазақстан Республикасы Мәдениет және ақпарат министрінің 2023 жылғы 10 қазандағы № 396-НҚ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10.10.2023 </w:t>
      </w:r>
      <w:r>
        <w:rPr>
          <w:rFonts w:ascii="Times New Roman"/>
          <w:b w:val="false"/>
          <w:i w:val="false"/>
          <w:color w:val="ff0000"/>
          <w:sz w:val="28"/>
        </w:rPr>
        <w:t>№ 396-НҚ</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"Мәдениет туралы" Қазақстан Республикасы Заңының 7-бабының </w:t>
      </w:r>
      <w:r>
        <w:rPr>
          <w:rFonts w:ascii="Times New Roman"/>
          <w:b w:val="false"/>
          <w:i w:val="false"/>
          <w:color w:val="000000"/>
          <w:sz w:val="28"/>
        </w:rPr>
        <w:t>23-7) тармақшасына</w:t>
      </w:r>
      <w:r>
        <w:rPr>
          <w:rFonts w:ascii="Times New Roman"/>
          <w:b w:val="false"/>
          <w:i w:val="false"/>
          <w:color w:val="000000"/>
          <w:sz w:val="28"/>
        </w:rPr>
        <w:t xml:space="preserve">, "Дене шынықтыру және спорт туралы" Қазақстан Республикасы Заңының 7-бабының </w:t>
      </w:r>
      <w:r>
        <w:rPr>
          <w:rFonts w:ascii="Times New Roman"/>
          <w:b w:val="false"/>
          <w:i w:val="false"/>
          <w:color w:val="000000"/>
          <w:sz w:val="28"/>
        </w:rPr>
        <w:t>61) тармақшасына</w:t>
      </w:r>
      <w:r>
        <w:rPr>
          <w:rFonts w:ascii="Times New Roman"/>
          <w:b w:val="false"/>
          <w:i w:val="false"/>
          <w:color w:val="000000"/>
          <w:sz w:val="28"/>
        </w:rPr>
        <w:t xml:space="preserve"> және "Қазақстан Республикасындағы туристік қызмет туралы" Қазақстан Республикасы Заңының 11-бабының </w:t>
      </w:r>
      <w:r>
        <w:rPr>
          <w:rFonts w:ascii="Times New Roman"/>
          <w:b w:val="false"/>
          <w:i w:val="false"/>
          <w:color w:val="000000"/>
          <w:sz w:val="28"/>
        </w:rPr>
        <w:t>20-8) тармақшасына</w:t>
      </w:r>
      <w:r>
        <w:rPr>
          <w:rFonts w:ascii="Times New Roman"/>
          <w:b w:val="false"/>
          <w:i w:val="false"/>
          <w:color w:val="000000"/>
          <w:sz w:val="28"/>
        </w:rPr>
        <w:t xml:space="preserve"> сәйкес, сондай-ақ "Республикалық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кадрларды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w:t>
      </w:r>
      <w:r>
        <w:rPr>
          <w:rFonts w:ascii="Times New Roman"/>
          <w:b w:val="false"/>
          <w:i w:val="false"/>
          <w:color w:val="000000"/>
          <w:sz w:val="28"/>
        </w:rPr>
        <w:t>қаулысын</w:t>
      </w:r>
      <w:r>
        <w:rPr>
          <w:rFonts w:ascii="Times New Roman"/>
          <w:b w:val="false"/>
          <w:i w:val="false"/>
          <w:color w:val="000000"/>
          <w:sz w:val="28"/>
        </w:rPr>
        <w:t xml:space="preserve">, сондай-ақ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іске асыру мақсатында, БҰЙЫРАМЫН:</w:t>
      </w:r>
    </w:p>
    <w:bookmarkEnd w:id="0"/>
    <w:bookmarkStart w:name="z2" w:id="1"/>
    <w:p>
      <w:pPr>
        <w:spacing w:after="0"/>
        <w:ind w:left="0"/>
        <w:jc w:val="both"/>
      </w:pPr>
      <w:r>
        <w:rPr>
          <w:rFonts w:ascii="Times New Roman"/>
          <w:b w:val="false"/>
          <w:i w:val="false"/>
          <w:color w:val="000000"/>
          <w:sz w:val="28"/>
        </w:rPr>
        <w:t>
      1. Осы бұйрыққа:</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2023-2024 оқу жылына жоғары және жоғары оқу орнынан кейінгі білімі бар кадрларды даярлауға мемлекеттік білім беру тапсырысын орналастыру үшін жоғары және жоғары оқу орнынан кейінгі білімі бар кадрларды даярлау бойынша қызметтерін көрсететін әлеуетті өнім берушілердің тізбесі;</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2023-2024 оқу жылына білім беру бағдарламаларының топтары бойынша жоғары және жоғары оқу орнынан кейінгі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 бекітілсін;</w:t>
      </w:r>
    </w:p>
    <w:bookmarkEnd w:id="3"/>
    <w:bookmarkStart w:name="z5" w:id="4"/>
    <w:p>
      <w:pPr>
        <w:spacing w:after="0"/>
        <w:ind w:left="0"/>
        <w:jc w:val="both"/>
      </w:pPr>
      <w:r>
        <w:rPr>
          <w:rFonts w:ascii="Times New Roman"/>
          <w:b w:val="false"/>
          <w:i w:val="false"/>
          <w:color w:val="000000"/>
          <w:sz w:val="28"/>
        </w:rPr>
        <w:t>
      2. Осы бұйрыққа:</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3-қосымшаға</w:t>
      </w:r>
      <w:r>
        <w:rPr>
          <w:rFonts w:ascii="Times New Roman"/>
          <w:b w:val="false"/>
          <w:i w:val="false"/>
          <w:color w:val="000000"/>
          <w:sz w:val="28"/>
        </w:rPr>
        <w:t xml:space="preserve"> сәйкес мәдениет және туризм салаларындағы білім беру ұйымдарында 2023-2024 оқу жылына арналған жоғары білімі бар кадрларды даярлаудың мемлекеттік білім беру тапсырысы;</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4-қосымшаға</w:t>
      </w:r>
      <w:r>
        <w:rPr>
          <w:rFonts w:ascii="Times New Roman"/>
          <w:b w:val="false"/>
          <w:i w:val="false"/>
          <w:color w:val="000000"/>
          <w:sz w:val="28"/>
        </w:rPr>
        <w:t xml:space="preserve"> сәйкес мәдениет саласындағы білім беру ұйымдарында 2023-2024 оқу жылына арналған жоғары оқу орнынан кейінгі білімі бар кадрларды даярлаудың мемлекеттік білім беру тапсырысы;</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5-қосымшаға</w:t>
      </w:r>
      <w:r>
        <w:rPr>
          <w:rFonts w:ascii="Times New Roman"/>
          <w:b w:val="false"/>
          <w:i w:val="false"/>
          <w:color w:val="000000"/>
          <w:sz w:val="28"/>
        </w:rPr>
        <w:t xml:space="preserve"> сәйкес мәдениет саласындағы білім беру ұйымдарында техникалық және кәсіптік білім беру бағдарламаларын іске асыратын білім беру ұйымдарында 2023-2024 оқу жылына арналған техникалық және кәсіптік, орта білімі бар кадрларды даярлаудың мемлекеттік білім беру тапсырысы;</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6-қосымшаға</w:t>
      </w:r>
      <w:r>
        <w:rPr>
          <w:rFonts w:ascii="Times New Roman"/>
          <w:b w:val="false"/>
          <w:i w:val="false"/>
          <w:color w:val="000000"/>
          <w:sz w:val="28"/>
        </w:rPr>
        <w:t xml:space="preserve"> сәйкес спорт саласындағы білім беру ұйымдарында техникалық және кәсіптік білім беру бағдарламаларын іске асыратын білім беру ұйымдарында 2023 - 2024 оқу жылына арналған техникалық және кәсіптік, орта білімі бар кадрларды даярлаудың мемлекеттік білім беру тапсырысы бөлінсін.</w:t>
      </w:r>
    </w:p>
    <w:bookmarkEnd w:id="8"/>
    <w:bookmarkStart w:name="z10" w:id="9"/>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және ғылыми жұмыс департаменті заңнамада белгіленген тәртіппен:</w:t>
      </w:r>
    </w:p>
    <w:bookmarkEnd w:id="9"/>
    <w:bookmarkStart w:name="z11" w:id="10"/>
    <w:p>
      <w:pPr>
        <w:spacing w:after="0"/>
        <w:ind w:left="0"/>
        <w:jc w:val="both"/>
      </w:pPr>
      <w:r>
        <w:rPr>
          <w:rFonts w:ascii="Times New Roman"/>
          <w:b w:val="false"/>
          <w:i w:val="false"/>
          <w:color w:val="000000"/>
          <w:sz w:val="28"/>
        </w:rPr>
        <w:t xml:space="preserve">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10"/>
    <w:bookmarkStart w:name="z12" w:id="11"/>
    <w:p>
      <w:pPr>
        <w:spacing w:after="0"/>
        <w:ind w:left="0"/>
        <w:jc w:val="both"/>
      </w:pPr>
      <w:r>
        <w:rPr>
          <w:rFonts w:ascii="Times New Roman"/>
          <w:b w:val="false"/>
          <w:i w:val="false"/>
          <w:color w:val="000000"/>
          <w:sz w:val="28"/>
        </w:rPr>
        <w:t>
      2) осы бұйрық қолданысқа енгізілгеннен кейін бес жұмыс күні ішінде оны Қазақстан Республикасы Мәдениет және спорт министрлігінің интернет-ресурсында орналастыруды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2023-2024 оқу жылына жоғары және жоғары оқу орнынан кейінгі білімі бар кадрларды даярлауға мемлекеттік білім беру тапсырысын орналастыру үшін жоғары және жоғары оқу орнынан кейінгі білімі бар кадрларды даярлау бойынша қызметтерін көрсететін әлеуетті өнім берушілердің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8" w:id="15"/>
    <w:p>
      <w:pPr>
        <w:spacing w:after="0"/>
        <w:ind w:left="0"/>
        <w:jc w:val="left"/>
      </w:pPr>
      <w:r>
        <w:rPr>
          <w:rFonts w:ascii="Times New Roman"/>
          <w:b/>
          <w:i w:val="false"/>
          <w:color w:val="000000"/>
        </w:rPr>
        <w:t xml:space="preserve"> 2023-2024 оқу жылына білім беру бағдарламаларының топтары бойынша жоғары және жоғары оқу орнынан кейінгі білімі бар кадрларды даярлауға арналған мемлекеттік білім беру тапсырысы орналастырылатын жоғары және (немесе) жоғары оқу орнынан кейінгі білім беру ұйымдарының тізбесі Жоғары білім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оқу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B005 - Дене шынықтыру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B006 - Музыка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B021 - Орындаушылық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В022 -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B023 - Режиссура,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B024 -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В025 - Дирижирлау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В026 -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B027 -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B028 -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B029 - Аудиовизуалды құрылғылар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B030 -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B091 -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B092 - Тынығу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B093 - Мейрамхана ісі және мейманхана бизнесі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B005 - Дене шынықтыру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B028 -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B091 -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B092 - Тынығу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B093 - Мейрамхана ісі және мейманхана бизнесі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w:t>
            </w:r>
          </w:p>
        </w:tc>
      </w:tr>
    </w:tbl>
    <w:p>
      <w:pPr>
        <w:spacing w:after="0"/>
        <w:ind w:left="0"/>
        <w:jc w:val="both"/>
      </w:pPr>
      <w:r>
        <w:rPr>
          <w:rFonts w:ascii="Times New Roman"/>
          <w:b w:val="false"/>
          <w:i w:val="false"/>
          <w:color w:val="000000"/>
          <w:sz w:val="28"/>
        </w:rPr>
        <w:t>
      Жоғары оқу орнынан кейінгі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M006 - Музыка педагогтарын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М022 -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М023 - Аспаптық орындаушылық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M024 - Вокалдық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M025 - Дәстүрлі музыкалық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M026 -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M027 - Дирижирлау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M028 - Режиссура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M029 -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M030 - Эстрада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M031 -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M032 - Аудиовизуалды құрылғылар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M033 -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M034 -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M035 -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M037 -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20" w:id="16"/>
    <w:p>
      <w:pPr>
        <w:spacing w:after="0"/>
        <w:ind w:left="0"/>
        <w:jc w:val="left"/>
      </w:pPr>
      <w:r>
        <w:rPr>
          <w:rFonts w:ascii="Times New Roman"/>
          <w:b/>
          <w:i w:val="false"/>
          <w:color w:val="000000"/>
        </w:rPr>
        <w:t xml:space="preserve"> 2023-2024 оқу жылына арналған  жоғары білімі бар кадрларды даярлаудың мемлекеттік білім беру тапсырысын орналастыру және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 оқу нысаны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"Темірбек Жүргенов атындағы Қазақ ұлттық өнер академиясы" республикалық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 ұлттық өнер университеті" республикалық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"Құрманғазы атындағы Қазақ ұлттық консерваториясы" республикалық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 ұлттық хореография академиясы" шаруашылық жүргізу құқығындағы республикалық мемлекеттік кәсіпорны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"Халықаралық туризм және меймандостық университеті" коммерциялық емес акционерлік қоғамы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коммерциялық емес акционерлік қоғамы бойынша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бойынша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4-қосымша</w:t>
            </w:r>
          </w:p>
        </w:tc>
      </w:tr>
    </w:tbl>
    <w:bookmarkStart w:name="z22" w:id="17"/>
    <w:p>
      <w:pPr>
        <w:spacing w:after="0"/>
        <w:ind w:left="0"/>
        <w:jc w:val="left"/>
      </w:pPr>
      <w:r>
        <w:rPr>
          <w:rFonts w:ascii="Times New Roman"/>
          <w:b/>
          <w:i w:val="false"/>
          <w:color w:val="000000"/>
        </w:rPr>
        <w:t xml:space="preserve"> 2023-2024 оқу жылына арналған  жоғары оқу орнынан кейінгі білімі бар кадрларды даярлаудың мемлекеттік білім беру тапсырысын орналастыру және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Магистратура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"Темірбек Жүргенов атындағы Қазақ ұлттық өнер академиясы"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 ұлттық өнер университеті"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педагогтарын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"Құрманғазы атындағы Қазақ ұлттық консерваториясы"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4. "Қазақ ұлттық хореография академиясы" шаруашылық жүргізу құқығындағы республикалық мемлекеттік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бойынша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Докторантура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"Темірбек Жүргенов атындағы Қазақ ұлттық өнер академиясы"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 ұлттық өнер университеті"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педагогтарын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"Құрманғазы атындағы Қазақ ұлттық консерваториясы" республикалық мемлекеттік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4. "Қазақ ұлттық хореография академиясы" шаруашылық жүргізу құқығындағы республикалық мемлекеттік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бойынша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5-қосымша</w:t>
            </w:r>
          </w:p>
        </w:tc>
      </w:tr>
    </w:tbl>
    <w:bookmarkStart w:name="z24" w:id="18"/>
    <w:p>
      <w:pPr>
        <w:spacing w:after="0"/>
        <w:ind w:left="0"/>
        <w:jc w:val="left"/>
      </w:pPr>
      <w:r>
        <w:rPr>
          <w:rFonts w:ascii="Times New Roman"/>
          <w:b/>
          <w:i w:val="false"/>
          <w:color w:val="000000"/>
        </w:rPr>
        <w:t xml:space="preserve"> 2023-2024 оқу жылына арналған мәдениет саласындағы білім беру ұйымдарында техникалық және кәсіптік білімі бар кадрларды даярлаудың мемлекеттік білім беру тапсырысын орналастыру және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 және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 ұлттық өнер университеті" республикалық мемлекеттік мекемесінің колледжі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p>
            <w:pPr>
              <w:spacing w:after="20"/>
              <w:ind w:left="20"/>
              <w:jc w:val="both"/>
            </w:pPr>
            <w:r>
              <w:rPr>
                <w:rFonts w:ascii="Times New Roman"/>
                <w:b w:val="false"/>
                <w:i w:val="false"/>
                <w:color w:val="000000"/>
                <w:sz w:val="20"/>
              </w:rPr>
              <w:t>
"Музыкалық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4S01140201</w:t>
            </w:r>
          </w:p>
          <w:p>
            <w:pPr>
              <w:spacing w:after="20"/>
              <w:ind w:left="20"/>
              <w:jc w:val="both"/>
            </w:pPr>
            <w:r>
              <w:rPr>
                <w:rFonts w:ascii="Times New Roman"/>
                <w:b w:val="false"/>
                <w:i w:val="false"/>
                <w:color w:val="000000"/>
                <w:sz w:val="20"/>
              </w:rPr>
              <w:t>
"Мектепке дейінгі, бастауыш және негізгі орта білім берудің музыка мұғалімі"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p>
            <w:pPr>
              <w:spacing w:after="20"/>
              <w:ind w:left="20"/>
              <w:jc w:val="both"/>
            </w:pPr>
            <w:r>
              <w:rPr>
                <w:rFonts w:ascii="Times New Roman"/>
                <w:b w:val="false"/>
                <w:i w:val="false"/>
                <w:color w:val="000000"/>
                <w:sz w:val="20"/>
              </w:rPr>
              <w:t>
"Дыбыс операторлық шеберлік"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4S02110201</w:t>
            </w:r>
          </w:p>
          <w:p>
            <w:pPr>
              <w:spacing w:after="20"/>
              <w:ind w:left="20"/>
              <w:jc w:val="both"/>
            </w:pPr>
            <w:r>
              <w:rPr>
                <w:rFonts w:ascii="Times New Roman"/>
                <w:b w:val="false"/>
                <w:i w:val="false"/>
                <w:color w:val="000000"/>
                <w:sz w:val="20"/>
              </w:rPr>
              <w:t>
"Дыбыс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w:t>
            </w:r>
          </w:p>
          <w:p>
            <w:pPr>
              <w:spacing w:after="20"/>
              <w:ind w:left="20"/>
              <w:jc w:val="both"/>
            </w:pPr>
            <w:r>
              <w:rPr>
                <w:rFonts w:ascii="Times New Roman"/>
                <w:b w:val="false"/>
                <w:i w:val="false"/>
                <w:color w:val="000000"/>
                <w:sz w:val="20"/>
              </w:rPr>
              <w:t>
"Графикалық дизайнер"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p>
            <w:pPr>
              <w:spacing w:after="20"/>
              <w:ind w:left="20"/>
              <w:jc w:val="both"/>
            </w:pPr>
            <w:r>
              <w:rPr>
                <w:rFonts w:ascii="Times New Roman"/>
                <w:b w:val="false"/>
                <w:i w:val="false"/>
                <w:color w:val="000000"/>
                <w:sz w:val="20"/>
              </w:rPr>
              <w:t>
"Суретші"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p>
            <w:pPr>
              <w:spacing w:after="20"/>
              <w:ind w:left="20"/>
              <w:jc w:val="both"/>
            </w:pPr>
            <w:r>
              <w:rPr>
                <w:rFonts w:ascii="Times New Roman"/>
                <w:b w:val="false"/>
                <w:i w:val="false"/>
                <w:color w:val="000000"/>
                <w:sz w:val="20"/>
              </w:rPr>
              <w:t>
"Суретші-иллюстратор"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w:t>
            </w:r>
          </w:p>
          <w:p>
            <w:pPr>
              <w:spacing w:after="20"/>
              <w:ind w:left="20"/>
              <w:jc w:val="both"/>
            </w:pPr>
            <w:r>
              <w:rPr>
                <w:rFonts w:ascii="Times New Roman"/>
                <w:b w:val="false"/>
                <w:i w:val="false"/>
                <w:color w:val="000000"/>
                <w:sz w:val="20"/>
              </w:rPr>
              <w:t>
"Суретші-мүсінші"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p>
            <w:pPr>
              <w:spacing w:after="20"/>
              <w:ind w:left="20"/>
              <w:jc w:val="both"/>
            </w:pPr>
            <w:r>
              <w:rPr>
                <w:rFonts w:ascii="Times New Roman"/>
                <w:b w:val="false"/>
                <w:i w:val="false"/>
                <w:color w:val="000000"/>
                <w:sz w:val="20"/>
              </w:rPr>
              <w:t>
"Сәндік қолданбалы өнер суретшісі"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w:t>
            </w:r>
          </w:p>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w:t>
            </w:r>
          </w:p>
          <w:p>
            <w:pPr>
              <w:spacing w:after="20"/>
              <w:ind w:left="20"/>
              <w:jc w:val="both"/>
            </w:pPr>
            <w:r>
              <w:rPr>
                <w:rFonts w:ascii="Times New Roman"/>
                <w:b w:val="false"/>
                <w:i w:val="false"/>
                <w:color w:val="000000"/>
                <w:sz w:val="20"/>
              </w:rPr>
              <w:t>
"Оркестр әртісі (дирижер), балалар музыка мектебінің оқытушысы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p>
            <w:pPr>
              <w:spacing w:after="20"/>
              <w:ind w:left="20"/>
              <w:jc w:val="both"/>
            </w:pPr>
            <w:r>
              <w:rPr>
                <w:rFonts w:ascii="Times New Roman"/>
                <w:b w:val="false"/>
                <w:i w:val="false"/>
                <w:color w:val="000000"/>
                <w:sz w:val="20"/>
              </w:rPr>
              <w:t>
"Музыка теориясы"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w:t>
            </w:r>
          </w:p>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p>
            <w:pPr>
              <w:spacing w:after="20"/>
              <w:ind w:left="20"/>
              <w:jc w:val="both"/>
            </w:pPr>
            <w:r>
              <w:rPr>
                <w:rFonts w:ascii="Times New Roman"/>
                <w:b w:val="false"/>
                <w:i w:val="false"/>
                <w:color w:val="000000"/>
                <w:sz w:val="20"/>
              </w:rPr>
              <w:t>
"Хорды дирижерлау"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w:t>
            </w:r>
          </w:p>
          <w:p>
            <w:pPr>
              <w:spacing w:after="20"/>
              <w:ind w:left="20"/>
              <w:jc w:val="both"/>
            </w:pPr>
            <w:r>
              <w:rPr>
                <w:rFonts w:ascii="Times New Roman"/>
                <w:b w:val="false"/>
                <w:i w:val="false"/>
                <w:color w:val="000000"/>
                <w:sz w:val="20"/>
              </w:rPr>
              <w:t>
"Хормейстер,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p>
            <w:pPr>
              <w:spacing w:after="20"/>
              <w:ind w:left="20"/>
              <w:jc w:val="both"/>
            </w:pPr>
            <w:r>
              <w:rPr>
                <w:rFonts w:ascii="Times New Roman"/>
                <w:b w:val="false"/>
                <w:i w:val="false"/>
                <w:color w:val="000000"/>
                <w:sz w:val="20"/>
              </w:rPr>
              <w:t>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4S02150501</w:t>
            </w:r>
          </w:p>
          <w:p>
            <w:pPr>
              <w:spacing w:after="20"/>
              <w:ind w:left="20"/>
              <w:jc w:val="both"/>
            </w:pPr>
            <w:r>
              <w:rPr>
                <w:rFonts w:ascii="Times New Roman"/>
                <w:b w:val="false"/>
                <w:i w:val="false"/>
                <w:color w:val="000000"/>
                <w:sz w:val="20"/>
              </w:rPr>
              <w:t>
"Драма театрінің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p>
            <w:pPr>
              <w:spacing w:after="20"/>
              <w:ind w:left="20"/>
              <w:jc w:val="both"/>
            </w:pPr>
            <w:r>
              <w:rPr>
                <w:rFonts w:ascii="Times New Roman"/>
                <w:b w:val="false"/>
                <w:i w:val="false"/>
                <w:color w:val="000000"/>
                <w:sz w:val="20"/>
              </w:rPr>
              <w:t>
"Театр- декорациялық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4S02150805</w:t>
            </w:r>
          </w:p>
          <w:p>
            <w:pPr>
              <w:spacing w:after="20"/>
              <w:ind w:left="20"/>
              <w:jc w:val="both"/>
            </w:pPr>
            <w:r>
              <w:rPr>
                <w:rFonts w:ascii="Times New Roman"/>
                <w:b w:val="false"/>
                <w:i w:val="false"/>
                <w:color w:val="000000"/>
                <w:sz w:val="20"/>
              </w:rPr>
              <w:t>
"Суретші-декораторі"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 "Туризм менеджері"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"Темірбек Жүргенов атындағы Қазақ ұлттық өнер академиясы" республикалық мемлекеттік мекемесінің колледжі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4S02150502 "Музыка театрының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 "Графикалық дизайнер"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 "Интерьер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 "Интерьер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 "Киім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 "Киім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 "Суретші"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 "Суретші-мүсінші"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 "Сәндік қолданбалы өнер суретшісі"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 ұлттық хореография академиясы" шаруашылық жүргізу құқығындағы республикалық мемлекеттік кәсіпорнының колледжі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4S02150701 "Балет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 "Би ансамблінің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бойынша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"Жүсіпбек Елебеков атындағы республикалық эстрадалық-цирк колледжі"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p>
            <w:pPr>
              <w:spacing w:after="20"/>
              <w:ind w:left="20"/>
              <w:jc w:val="both"/>
            </w:pPr>
            <w:r>
              <w:rPr>
                <w:rFonts w:ascii="Times New Roman"/>
                <w:b w:val="false"/>
                <w:i w:val="false"/>
                <w:color w:val="000000"/>
                <w:sz w:val="20"/>
              </w:rPr>
              <w:t>
"Халық аспаптар оркестрінің әртісі (дирижер),</w:t>
            </w:r>
          </w:p>
          <w:p>
            <w:pPr>
              <w:spacing w:after="20"/>
              <w:ind w:left="20"/>
              <w:jc w:val="both"/>
            </w:pPr>
            <w:r>
              <w:rPr>
                <w:rFonts w:ascii="Times New Roman"/>
                <w:b w:val="false"/>
                <w:i w:val="false"/>
                <w:color w:val="000000"/>
                <w:sz w:val="20"/>
              </w:rPr>
              <w:t>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4S02150304</w:t>
            </w:r>
          </w:p>
          <w:p>
            <w:pPr>
              <w:spacing w:after="20"/>
              <w:ind w:left="20"/>
              <w:jc w:val="both"/>
            </w:pPr>
            <w:r>
              <w:rPr>
                <w:rFonts w:ascii="Times New Roman"/>
                <w:b w:val="false"/>
                <w:i w:val="false"/>
                <w:color w:val="000000"/>
                <w:sz w:val="20"/>
              </w:rPr>
              <w:t>
"Хор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p>
            <w:pPr>
              <w:spacing w:after="20"/>
              <w:ind w:left="20"/>
              <w:jc w:val="both"/>
            </w:pPr>
            <w:r>
              <w:rPr>
                <w:rFonts w:ascii="Times New Roman"/>
                <w:b w:val="false"/>
                <w:i w:val="false"/>
                <w:color w:val="000000"/>
                <w:sz w:val="20"/>
              </w:rPr>
              <w:t>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w:t>
            </w:r>
          </w:p>
          <w:p>
            <w:pPr>
              <w:spacing w:after="20"/>
              <w:ind w:left="20"/>
              <w:jc w:val="both"/>
            </w:pPr>
            <w:r>
              <w:rPr>
                <w:rFonts w:ascii="Times New Roman"/>
                <w:b w:val="false"/>
                <w:i w:val="false"/>
                <w:color w:val="000000"/>
                <w:sz w:val="20"/>
              </w:rPr>
              <w:t>
"Би ансамбілінің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p>
            <w:pPr>
              <w:spacing w:after="20"/>
              <w:ind w:left="20"/>
              <w:jc w:val="both"/>
            </w:pPr>
            <w:r>
              <w:rPr>
                <w:rFonts w:ascii="Times New Roman"/>
                <w:b w:val="false"/>
                <w:i w:val="false"/>
                <w:color w:val="000000"/>
                <w:sz w:val="20"/>
              </w:rPr>
              <w:t>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4S02150504</w:t>
            </w:r>
          </w:p>
          <w:p>
            <w:pPr>
              <w:spacing w:after="20"/>
              <w:ind w:left="20"/>
              <w:jc w:val="both"/>
            </w:pPr>
            <w:r>
              <w:rPr>
                <w:rFonts w:ascii="Times New Roman"/>
                <w:b w:val="false"/>
                <w:i w:val="false"/>
                <w:color w:val="000000"/>
                <w:sz w:val="20"/>
              </w:rPr>
              <w:t>
"Сөз сөйлеу жанрының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p>
            <w:pPr>
              <w:spacing w:after="20"/>
              <w:ind w:left="20"/>
              <w:jc w:val="both"/>
            </w:pPr>
            <w:r>
              <w:rPr>
                <w:rFonts w:ascii="Times New Roman"/>
                <w:b w:val="false"/>
                <w:i w:val="false"/>
                <w:color w:val="000000"/>
                <w:sz w:val="20"/>
              </w:rPr>
              <w:t>
"Цирк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4S02150601</w:t>
            </w:r>
          </w:p>
          <w:p>
            <w:pPr>
              <w:spacing w:after="20"/>
              <w:ind w:left="20"/>
              <w:jc w:val="both"/>
            </w:pPr>
            <w:r>
              <w:rPr>
                <w:rFonts w:ascii="Times New Roman"/>
                <w:b w:val="false"/>
                <w:i w:val="false"/>
                <w:color w:val="000000"/>
                <w:sz w:val="20"/>
              </w:rPr>
              <w:t>
"Цирк әртісі, цирк жанрларының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көп бала тәрбиелеп отырған отбасылардағы балалар үшін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"Петр Чайковский атындағы Алматы музыкалық колледжі"</w:t>
            </w:r>
          </w:p>
          <w:p>
            <w:pPr>
              <w:spacing w:after="20"/>
              <w:ind w:left="20"/>
              <w:jc w:val="both"/>
            </w:pPr>
            <w:r>
              <w:rPr>
                <w:rFonts w:ascii="Times New Roman"/>
                <w:b w:val="false"/>
                <w:i w:val="false"/>
                <w:color w:val="000000"/>
                <w:sz w:val="20"/>
              </w:rPr>
              <w:t>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 "Концертмейстер,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 "Оркестр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 "Халық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 "Эстрадалық аспаптар оркестрінің әртісі (дирижер),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 "Хорды дирижерлау"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 "Хормейстер,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 "Музыка теориясы"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 "Музыкатанушы,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 "Академиялық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 "Дәстүрлі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 "Эстрадалық ән салу әртісі, балалар музыка мектебінің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 "Дыбыс операторлық шеберлік"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4S02110201 "Дыбыс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да көп бала тәрбиелеп отырған отбасылардан шыққан балалар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6. "Орал Таңсықбаев атындағы сәндік-қолданбалы өнер колледжі"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p>
            <w:pPr>
              <w:spacing w:after="20"/>
              <w:ind w:left="20"/>
              <w:jc w:val="both"/>
            </w:pPr>
            <w:r>
              <w:rPr>
                <w:rFonts w:ascii="Times New Roman"/>
                <w:b w:val="false"/>
                <w:i w:val="false"/>
                <w:color w:val="000000"/>
                <w:sz w:val="20"/>
              </w:rPr>
              <w:t>
"Театр декорациялық өнері</w:t>
            </w:r>
          </w:p>
          <w:p>
            <w:pPr>
              <w:spacing w:after="20"/>
              <w:ind w:left="20"/>
              <w:jc w:val="both"/>
            </w:pPr>
            <w:r>
              <w:rPr>
                <w:rFonts w:ascii="Times New Roman"/>
                <w:b w:val="false"/>
                <w:i w:val="false"/>
                <w:color w:val="000000"/>
                <w:sz w:val="20"/>
              </w:rPr>
              <w:t>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4S02150805</w:t>
            </w:r>
          </w:p>
          <w:p>
            <w:pPr>
              <w:spacing w:after="20"/>
              <w:ind w:left="20"/>
              <w:jc w:val="both"/>
            </w:pPr>
            <w:r>
              <w:rPr>
                <w:rFonts w:ascii="Times New Roman"/>
                <w:b w:val="false"/>
                <w:i w:val="false"/>
                <w:color w:val="000000"/>
                <w:sz w:val="20"/>
              </w:rPr>
              <w:t>
"Суретші-декоратор"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 "Графикалық дизайнер"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p>
            <w:pPr>
              <w:spacing w:after="20"/>
              <w:ind w:left="20"/>
              <w:jc w:val="both"/>
            </w:pPr>
            <w:r>
              <w:rPr>
                <w:rFonts w:ascii="Times New Roman"/>
                <w:b w:val="false"/>
                <w:i w:val="false"/>
                <w:color w:val="000000"/>
                <w:sz w:val="20"/>
              </w:rPr>
              <w:t>
"Интерьер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w:t>
            </w:r>
          </w:p>
          <w:p>
            <w:pPr>
              <w:spacing w:after="20"/>
              <w:ind w:left="20"/>
              <w:jc w:val="both"/>
            </w:pPr>
            <w:r>
              <w:rPr>
                <w:rFonts w:ascii="Times New Roman"/>
                <w:b w:val="false"/>
                <w:i w:val="false"/>
                <w:color w:val="000000"/>
                <w:sz w:val="20"/>
              </w:rPr>
              <w:t>
"Интерьер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p>
            <w:pPr>
              <w:spacing w:after="20"/>
              <w:ind w:left="20"/>
              <w:jc w:val="both"/>
            </w:pPr>
            <w:r>
              <w:rPr>
                <w:rFonts w:ascii="Times New Roman"/>
                <w:b w:val="false"/>
                <w:i w:val="false"/>
                <w:color w:val="000000"/>
                <w:sz w:val="20"/>
              </w:rPr>
              <w:t>
"Киім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p>
            <w:pPr>
              <w:spacing w:after="20"/>
              <w:ind w:left="20"/>
              <w:jc w:val="both"/>
            </w:pPr>
            <w:r>
              <w:rPr>
                <w:rFonts w:ascii="Times New Roman"/>
                <w:b w:val="false"/>
                <w:i w:val="false"/>
                <w:color w:val="000000"/>
                <w:sz w:val="20"/>
              </w:rPr>
              <w:t>
"Киім дизайнері"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p>
            <w:pPr>
              <w:spacing w:after="20"/>
              <w:ind w:left="20"/>
              <w:jc w:val="both"/>
            </w:pPr>
            <w:r>
              <w:rPr>
                <w:rFonts w:ascii="Times New Roman"/>
                <w:b w:val="false"/>
                <w:i w:val="false"/>
                <w:color w:val="000000"/>
                <w:sz w:val="20"/>
              </w:rPr>
              <w:t>
"Суретші</w:t>
            </w:r>
          </w:p>
          <w:p>
            <w:pPr>
              <w:spacing w:after="20"/>
              <w:ind w:left="20"/>
              <w:jc w:val="both"/>
            </w:pPr>
            <w:r>
              <w:rPr>
                <w:rFonts w:ascii="Times New Roman"/>
                <w:b w:val="false"/>
                <w:i w:val="false"/>
                <w:color w:val="000000"/>
                <w:sz w:val="20"/>
              </w:rPr>
              <w:t>
(станокты кескіндеме)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w:t>
            </w:r>
          </w:p>
          <w:p>
            <w:pPr>
              <w:spacing w:after="20"/>
              <w:ind w:left="20"/>
              <w:jc w:val="both"/>
            </w:pPr>
            <w:r>
              <w:rPr>
                <w:rFonts w:ascii="Times New Roman"/>
                <w:b w:val="false"/>
                <w:i w:val="false"/>
                <w:color w:val="000000"/>
                <w:sz w:val="20"/>
              </w:rPr>
              <w:t>
"Суретші-мүсінші"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p>
            <w:pPr>
              <w:spacing w:after="20"/>
              <w:ind w:left="20"/>
              <w:jc w:val="both"/>
            </w:pPr>
            <w:r>
              <w:rPr>
                <w:rFonts w:ascii="Times New Roman"/>
                <w:b w:val="false"/>
                <w:i w:val="false"/>
                <w:color w:val="000000"/>
                <w:sz w:val="20"/>
              </w:rPr>
              <w:t>
"Сәндік қолданбалы өнер суретшісі"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да көп бала тәрбиелеп отырған отбасылардан шыққан балалар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7. "Александр Селезнев атындағы Алматы хореографиялық училищесі"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және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"Хореографиялық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4S02150701</w:t>
            </w:r>
          </w:p>
          <w:p>
            <w:pPr>
              <w:spacing w:after="20"/>
              <w:ind w:left="20"/>
              <w:jc w:val="both"/>
            </w:pPr>
            <w:r>
              <w:rPr>
                <w:rFonts w:ascii="Times New Roman"/>
                <w:b w:val="false"/>
                <w:i w:val="false"/>
                <w:color w:val="000000"/>
                <w:sz w:val="20"/>
              </w:rPr>
              <w:t>
"Балет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 "Хореография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w:t>
            </w:r>
          </w:p>
          <w:p>
            <w:pPr>
              <w:spacing w:after="20"/>
              <w:ind w:left="20"/>
              <w:jc w:val="both"/>
            </w:pPr>
            <w:r>
              <w:rPr>
                <w:rFonts w:ascii="Times New Roman"/>
                <w:b w:val="false"/>
                <w:i w:val="false"/>
                <w:color w:val="000000"/>
                <w:sz w:val="20"/>
              </w:rPr>
              <w:t>
"Би ансамблі әртісі"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топтағы мүгедектігі бар адамдар, бала кезінен мүгедектігі бар адамдар, мүгедектігі бар балалар арасынан шыққан азаматтар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мемлекеттердiң аумағындағы ұрыс қимылдарының ардагерлері, жеңілдіктер бойынша Ұлы Отан соғысының ардагерлеріне теңестірілген ардагерлер үшін – 0,5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төрт және одан да көп бала тәрбиелеп отырған отбасылардан шыққан балалар – 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толық емес отбасы мәртебесі бар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мүгедектігі бар балаларды, бірінші немесе екінші топтағы мүгедектігі бар адамдарды тәрбиелеп отырған отбасылардағы балалар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бойынша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6-қосымша</w:t>
            </w:r>
          </w:p>
        </w:tc>
      </w:tr>
    </w:tbl>
    <w:bookmarkStart w:name="z26" w:id="19"/>
    <w:p>
      <w:pPr>
        <w:spacing w:after="0"/>
        <w:ind w:left="0"/>
        <w:jc w:val="left"/>
      </w:pPr>
      <w:r>
        <w:rPr>
          <w:rFonts w:ascii="Times New Roman"/>
          <w:b/>
          <w:i w:val="false"/>
          <w:color w:val="000000"/>
        </w:rPr>
        <w:t xml:space="preserve"> 2023-2024 оқу жылына арналған спорт саласындағы білім беру ұйымдарында техникалық және кәсіптік білімі бар кадрларды даярлаудың мемлекеттік білім беру тапсырысын орналастыру және бөлу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 және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"Республикалық спорт колледжі"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p>
            <w:pPr>
              <w:spacing w:after="20"/>
              <w:ind w:left="20"/>
              <w:jc w:val="both"/>
            </w:pPr>
            <w:r>
              <w:rPr>
                <w:rFonts w:ascii="Times New Roman"/>
                <w:b w:val="false"/>
                <w:i w:val="false"/>
                <w:color w:val="000000"/>
                <w:sz w:val="20"/>
              </w:rPr>
              <w:t>
"Спорт жаттықтырушысы –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білім беру бағдарламалары бойынша оқуға ауыл жастары арасынан шыққан азаматтар үшін – 35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"Кәркен Ахметов атындағы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p>
            <w:pPr>
              <w:spacing w:after="20"/>
              <w:ind w:left="20"/>
              <w:jc w:val="both"/>
            </w:pPr>
            <w:r>
              <w:rPr>
                <w:rFonts w:ascii="Times New Roman"/>
                <w:b w:val="false"/>
                <w:i w:val="false"/>
                <w:color w:val="000000"/>
                <w:sz w:val="20"/>
              </w:rPr>
              <w:t>
"Спорт жаттықтырушысы –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білім беру бағдарламалары бойынша оқуға ауыл жастары арасынан шыққан азаматтар үшін – 35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p>
            <w:pPr>
              <w:spacing w:after="20"/>
              <w:ind w:left="20"/>
              <w:jc w:val="both"/>
            </w:pPr>
            <w:r>
              <w:rPr>
                <w:rFonts w:ascii="Times New Roman"/>
                <w:b w:val="false"/>
                <w:i w:val="false"/>
                <w:color w:val="000000"/>
                <w:sz w:val="20"/>
              </w:rPr>
              <w:t>
"Спорт жаттықтырушысы –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білім беру бағдарламалары бойынша оқуға ауыл жастары арасынан шыққан азаматтар үшін – 35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p>
            <w:pPr>
              <w:spacing w:after="20"/>
              <w:ind w:left="20"/>
              <w:jc w:val="both"/>
            </w:pPr>
            <w:r>
              <w:rPr>
                <w:rFonts w:ascii="Times New Roman"/>
                <w:b w:val="false"/>
                <w:i w:val="false"/>
                <w:color w:val="000000"/>
                <w:sz w:val="20"/>
              </w:rPr>
              <w:t>
"Спорт жаттықтырушысы –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білім беру бағдарламалары бойынша оқуға ауыл жастары арасынан шыққан азаматтар үшін – 35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"Риддер қаласындағы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p>
            <w:pPr>
              <w:spacing w:after="20"/>
              <w:ind w:left="20"/>
              <w:jc w:val="both"/>
            </w:pPr>
            <w:r>
              <w:rPr>
                <w:rFonts w:ascii="Times New Roman"/>
                <w:b w:val="false"/>
                <w:i w:val="false"/>
                <w:color w:val="000000"/>
                <w:sz w:val="20"/>
              </w:rPr>
              <w:t>
"Спорт жаттықтырушысы – оқытушы"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білім беру бағдарламалары бойынша оқуға ауыл жастары арасынан шыққан азаматтар үшін – 35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 үшін – 4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бойынша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