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6e96" w14:textId="fd46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11 қаңтардағы № 10 "Қостанай облысы әкімдігінің энергетика және тұрғын үй-коммуналдық шаруашылық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2023 жылғы 21 қыркүйектегі № 395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энергетика және тұрғын үй-коммуналдық шаруашылық басқармасы" мемлекеттік мекемесі туралы ережені бекіту туралы" 2022 жылғы 11 қаңтардағы № 10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29-1), 29-2) тармақшалармен толықтырылсын:</w:t>
      </w:r>
    </w:p>
    <w:bookmarkStart w:name="z8" w:id="3"/>
    <w:p>
      <w:pPr>
        <w:spacing w:after="0"/>
        <w:ind w:left="0"/>
        <w:jc w:val="both"/>
      </w:pPr>
      <w:r>
        <w:rPr>
          <w:rFonts w:ascii="Times New Roman"/>
          <w:b w:val="false"/>
          <w:i w:val="false"/>
          <w:color w:val="000000"/>
          <w:sz w:val="28"/>
        </w:rPr>
        <w:t>
      "29-1) мемлекеттік тұрғын үй қорынан тұрғын үйге мұқтаждар есебінде тұрған азаматтардың кезектілік тізімдерінің мониторингін жүзеге асырады;</w:t>
      </w:r>
    </w:p>
    <w:bookmarkEnd w:id="3"/>
    <w:bookmarkStart w:name="z9" w:id="4"/>
    <w:p>
      <w:pPr>
        <w:spacing w:after="0"/>
        <w:ind w:left="0"/>
        <w:jc w:val="both"/>
      </w:pPr>
      <w:r>
        <w:rPr>
          <w:rFonts w:ascii="Times New Roman"/>
          <w:b w:val="false"/>
          <w:i w:val="false"/>
          <w:color w:val="000000"/>
          <w:sz w:val="28"/>
        </w:rPr>
        <w:t>
      29-2) авариялық тұрғын үйді бұзу жөніндегі бағдарламаларды әзірлеуге және іске асыруға қатысады;".</w:t>
      </w:r>
    </w:p>
    <w:bookmarkEnd w:id="4"/>
    <w:bookmarkStart w:name="z10"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толықтырулар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