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501a" w14:textId="7a05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2023 жылғы 6 қарашадағы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27 қыркүйектегі № 22 Әулиекөл ауданы жер учаскелерін беру жөніндегі комиссияның отырыс хаттамасынан үзінді қөшірмесінің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Құдықтарға қызмет көрсету және пайдалану үшін "Әулиекөл ауданы әкімінің аппараты" мемлекеттік мекемесіне Әулиекөл ауданы Құсмұрын кентінің аумағында орналасқан көлемі 0,0008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 және орыс тілдерінде электрондық түрде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