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f51c" w14:textId="ef4f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регламентін бекіту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16 қаңтардағы № 142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5) тармақшасына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Жангелдин аудандық мәслихатының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Жангелдин аудандық мәслихаттың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Жангелдин аудандық мәслихаты (жергілікті өкілді орган) халқы сайлайтын, халықтың еркін білдіретін және Қазақстан Республикасының заңнамасына сәйкес оны іске асыруға қажеті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Жангелдин аудандық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Жангелдин аудандық сайлау комиссиясының төрағасы мәслихаттың бірінші сессиясын ашады және оны мәслихат төрағасы сайланғанға дейін жүргізеді. Жангелдин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аудандық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Жангелдин аудандық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Жангелдин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Жангелдин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1"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2" w:id="53"/>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8" w:id="79"/>
    <w:p>
      <w:pPr>
        <w:spacing w:after="0"/>
        <w:ind w:left="0"/>
        <w:jc w:val="both"/>
      </w:pPr>
      <w:r>
        <w:rPr>
          <w:rFonts w:ascii="Times New Roman"/>
          <w:b w:val="false"/>
          <w:i w:val="false"/>
          <w:color w:val="000000"/>
          <w:sz w:val="28"/>
        </w:rPr>
        <w:t>
      Аудандық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кенттердің, ауылдық округтердің бюджеттерін бекітеді.</w:t>
      </w:r>
    </w:p>
    <w:bookmarkEnd w:id="79"/>
    <w:bookmarkStart w:name="z89" w:id="80"/>
    <w:p>
      <w:pPr>
        <w:spacing w:after="0"/>
        <w:ind w:left="0"/>
        <w:jc w:val="both"/>
      </w:pPr>
      <w:r>
        <w:rPr>
          <w:rFonts w:ascii="Times New Roman"/>
          <w:b w:val="false"/>
          <w:i w:val="false"/>
          <w:color w:val="000000"/>
          <w:sz w:val="28"/>
        </w:rPr>
        <w:t>
      Ауылдардың, кенттердің, ауылдық округтердің бюджеттерін аудан мәслихатының жеке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Облыс тексеру комиссияларының бюджеттің атқарылуы туралы есептерін мәслихат жыл сайын қарайды.</w:t>
      </w:r>
    </w:p>
    <w:bookmarkEnd w:id="102"/>
    <w:bookmarkStart w:name="z112"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аудан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Жангелдин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41. Сессия басталған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көшермесі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адамдарды,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төрағасы</w:t>
      </w:r>
    </w:p>
    <w:bookmarkEnd w:id="117"/>
    <w:bookmarkStart w:name="z127"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3"/>
    <w:bookmarkStart w:name="z133" w:id="124"/>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2"/>
    <w:bookmarkStart w:name="z142"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64.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