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2157" w14:textId="ec32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Шолақашы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73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Шолақашы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Шолақашы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Шолақашы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Шолақашы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Шолақашы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Шолақашы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Шолақашы ауылдық округінің әкімі Шолақашы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Шолақашы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Шолақашы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Шолақашы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Шолақашы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Шолақашы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Шолақашы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Дорожная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Мпс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Пду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60-лет Казахстана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 Кооперативная, Механизаторов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Калининградская, Советская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Степная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Юбилейная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