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6d4e" w14:textId="0bf6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Садчиков ауылдық округі әкімінің 2023 жылғы 17 тамыздағы № 4-ш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Садчиков ауылдық округінің әкімі ШЕШТІ:</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жолаушылар көлігі және автомобиль жолдары бөлімі" мемлекеттік мекемесіне су құбыры желілерін жобалау және салу үшін, Қостанай облысы, Қостанай ауданы, Садчиков ауылдық округі, Константиновка ауылы мекенжайы бойынша орналасқан жер учаскесіне жалпы ауданы 3,2580 га, оның ішінде жайылым 3,2505 га, 0,0075 га жол, Константиновка ауылында 4 жыл мерзімге уақытша жер пайдалану құқығына жария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Садчиков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көшірмесін қазақ және орыс тілдерінде қағаз және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Қостанай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