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1394" w14:textId="fb31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16 наурыздағы № 186 "Меңдіқара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2023 жылғы 31 наурыздағы № 9 шешімі. Жоыйлды - Қостанай облысы Меңдіқара ауданы мәслихатының 2023 жылғы 17 мамырдағы № 39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Меңдіқара ауданы мәслихатының 17.05.2023 </w:t>
      </w:r>
      <w:r>
        <w:rPr>
          <w:rFonts w:ascii="Times New Roman"/>
          <w:b w:val="false"/>
          <w:i w:val="false"/>
          <w:color w:val="ff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Меңдіқара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16 наурыздағы № 186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7666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"Меңдіқара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"Меңдіқара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1 - тарау. Жалпы ережелер</w:t>
      </w:r>
    </w:p>
    <w:bookmarkEnd w:id="5"/>
    <w:bookmarkStart w:name="z19" w:id="6"/>
    <w:p>
      <w:pPr>
        <w:spacing w:after="0"/>
        <w:ind w:left="0"/>
        <w:jc w:val="both"/>
      </w:pPr>
      <w:r>
        <w:rPr>
          <w:rFonts w:ascii="Times New Roman"/>
          <w:b w:val="false"/>
          <w:i w:val="false"/>
          <w:color w:val="000000"/>
          <w:sz w:val="28"/>
        </w:rPr>
        <w:t xml:space="preserve">
      1. "Меңдіқара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"Меңдіқара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Меңдіқара аудандық мәслихатының бірінші басшылары осы </w:t>
      </w:r>
      <w:r>
        <w:rPr>
          <w:rFonts w:ascii="Times New Roman"/>
          <w:b w:val="false"/>
          <w:i w:val="false"/>
          <w:color w:val="000000"/>
          <w:sz w:val="28"/>
        </w:rPr>
        <w:t>Әдістеменің</w:t>
      </w:r>
      <w:r>
        <w:rPr>
          <w:rFonts w:ascii="Times New Roman"/>
          <w:b w:val="false"/>
          <w:i w:val="false"/>
          <w:color w:val="000000"/>
          <w:sz w:val="28"/>
        </w:rPr>
        <w:t xml:space="preserve"> негізінде мәслихат аппараты қызметінің ерекшелігін есепке ала отырып бекітеді.</w:t>
      </w:r>
    </w:p>
    <w:bookmarkEnd w:id="7"/>
    <w:bookmarkStart w:name="z21"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бас маманы (бұдан әрі - бас маман),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9"/>
    <w:bookmarkStart w:name="z53" w:id="4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0"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Бас маман мыналарға жауапты болады:</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6" w:id="53"/>
    <w:p>
      <w:pPr>
        <w:spacing w:after="0"/>
        <w:ind w:left="0"/>
        <w:jc w:val="both"/>
      </w:pPr>
      <w:r>
        <w:rPr>
          <w:rFonts w:ascii="Times New Roman"/>
          <w:b w:val="false"/>
          <w:i w:val="false"/>
          <w:color w:val="000000"/>
          <w:sz w:val="28"/>
        </w:rPr>
        <w:t>
      2) НМИ уақтылы талдау мен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0"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маманына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xml:space="preserve">
      23. НМИ - ды бағалаушы адаммен сондай - ақ бас маманның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4"/>
    <w:bookmarkStart w:name="z78"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6"/>
    <w:bookmarkStart w:name="z90"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3"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4" w:id="81"/>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2"/>
    <w:bookmarkStart w:name="z96"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3"/>
    <w:bookmarkStart w:name="z97"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4 - 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1"/>
    <w:bookmarkStart w:name="z105"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Мәслихат аппаратының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 - 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 - өзі дамыту.</w:t>
      </w:r>
    </w:p>
    <w:bookmarkEnd w:id="114"/>
    <w:bookmarkStart w:name="z128"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5"/>
    <w:bookmarkStart w:name="z139" w:id="126"/>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