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81e" w14:textId="9f4a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14 наурыздағы № 179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7 сәуірдегі № 10 шешімі</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14 наурыздағы № 179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"Науырзым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"Науырзым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"Науырзым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"Науырзым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20"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Науырзым аудандық мәслихатының бірінші басшысы бекітеді.</w:t>
      </w:r>
    </w:p>
    <w:bookmarkEnd w:id="7"/>
    <w:bookmarkStart w:name="z21"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келесі саралау бойынша қойылады:</w:t>
      </w:r>
    </w:p>
    <w:bookmarkEnd w:id="26"/>
    <w:bookmarkStart w:name="z40"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жұмыс құқықтық-ұйымдастыру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9"/>
    <w:bookmarkStart w:name="z53" w:id="40"/>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6"/>
    <w:bookmarkStart w:name="z60" w:id="47"/>
    <w:p>
      <w:pPr>
        <w:spacing w:after="0"/>
        <w:ind w:left="0"/>
        <w:jc w:val="both"/>
      </w:pPr>
      <w:r>
        <w:rPr>
          <w:rFonts w:ascii="Times New Roman"/>
          <w:b w:val="false"/>
          <w:i w:val="false"/>
          <w:color w:val="000000"/>
          <w:sz w:val="28"/>
        </w:rPr>
        <w:t>
      19. Бағаланатын адам мыналарды қамтамасыз етеді:</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Бөлім басшысы қамтамасыз етеді:</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2"/>
    <w:bookmarkStart w:name="z66" w:id="53"/>
    <w:p>
      <w:pPr>
        <w:spacing w:after="0"/>
        <w:ind w:left="0"/>
        <w:jc w:val="both"/>
      </w:pPr>
      <w:r>
        <w:rPr>
          <w:rFonts w:ascii="Times New Roman"/>
          <w:b w:val="false"/>
          <w:i w:val="false"/>
          <w:color w:val="000000"/>
          <w:sz w:val="28"/>
        </w:rPr>
        <w:t>
      2) НМИ уақытылы талдау және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6"/>
    <w:bookmarkStart w:name="z70" w:id="57"/>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3"/>
    <w:bookmarkStart w:name="z77" w:id="64"/>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4"/>
    <w:bookmarkStart w:name="z78"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3"/>
    <w:bookmarkStart w:name="z87" w:id="74"/>
    <w:p>
      <w:pPr>
        <w:spacing w:after="0"/>
        <w:ind w:left="0"/>
        <w:jc w:val="both"/>
      </w:pPr>
      <w:r>
        <w:rPr>
          <w:rFonts w:ascii="Times New Roman"/>
          <w:b w:val="false"/>
          <w:i w:val="false"/>
          <w:color w:val="000000"/>
          <w:sz w:val="28"/>
        </w:rPr>
        <w:t>
      28. Бағалау парағы бағалаушы адамға ақпараттық жүйе арқылы не ол болмаған жағдайда бөлім басшысы қарау үшін жіберіледі.</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5"/>
    <w:bookmarkStart w:name="z89" w:id="76"/>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6"/>
    <w:bookmarkStart w:name="z90"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32. Бағалау парағын бағалаушы адамға ақпараттық жүйе не ол болмаған жағдайда бөлім басшысы жібереді.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2"/>
    <w:bookmarkStart w:name="z96" w:id="83"/>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0"/>
    <w:bookmarkStart w:name="z104" w:id="91"/>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1"/>
    <w:bookmarkStart w:name="z105" w:id="92"/>
    <w:p>
      <w:pPr>
        <w:spacing w:after="0"/>
        <w:ind w:left="0"/>
        <w:jc w:val="both"/>
      </w:pPr>
      <w:r>
        <w:rPr>
          <w:rFonts w:ascii="Times New Roman"/>
          <w:b w:val="false"/>
          <w:i w:val="false"/>
          <w:color w:val="000000"/>
          <w:sz w:val="28"/>
        </w:rPr>
        <w:t>
      мәслихат аппаратының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4"/>
    <w:bookmarkStart w:name="z128"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0"/>
    <w:bookmarkStart w:name="z134"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6"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41" w:id="128"/>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9"/>
    <w:bookmarkStart w:name="z143"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0"/>
    <w:bookmarkStart w:name="z144"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жетістіктерге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дамыуна шолу;</w:t>
      </w:r>
    </w:p>
    <w:bookmarkEnd w:id="133"/>
    <w:bookmarkStart w:name="z147"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