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e249" w14:textId="5e0e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 190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4 шiлдедегi № 167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№190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Табиғи монополияларды реттеу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"8. Комитеттің заңды мекенжайы орналасқан жер: 010000, Астана қаласы, "Есіл" ауданы, Мәңгілік Ел даңғылы, № 8 үй, "Министрліктер үйі" әкімшілік ғимараты, 7-кіреберіс.";</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49) тармақшасы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"49) табиғи монополиялар салаларында мемлекеттік саясатты іске асыру және оның жүзеге асырылуын ұйымдастыру;";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Комитет қарамағындағы аумақтық бөлімшелердің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 Қазақстан Республикасының Ұлттық экономика министрлігі Табиғи монополияларды реттеу комитетінің Астана қаласы бойынша департаменті.".</w:t>
      </w:r>
    </w:p>
    <w:bookmarkEnd w:id="2"/>
    <w:bookmarkStart w:name="z10" w:id="3"/>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Табиғи монополияларды реттеу комитеті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және Қазақстан Республикасы Ұлттық экономика министрлігінің интернет-ресурсында орналастыру үшін жолдауды қамтамасыз етсін. </w:t>
      </w:r>
    </w:p>
    <w:bookmarkEnd w:id="3"/>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Қуантыров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