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3f86" w14:textId="1df3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мәслихатының 2019 жылғы 27 қыркүйектегі № 381/34 "Павлодар облысында жерлеудің және зираттарды күтіп ұстау ісін ұйымдастырудың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2023 жылғы 27 маусымдағы № 31/3 шешімі. Күші жойылды - Павлодар облыстық мәслихатының 2024 жылғы 7 маусымдағы № 127/13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07.06.2024 </w:t>
      </w:r>
      <w:r>
        <w:rPr>
          <w:rFonts w:ascii="Times New Roman"/>
          <w:b w:val="false"/>
          <w:i w:val="false"/>
          <w:color w:val="ff0000"/>
          <w:sz w:val="28"/>
        </w:rPr>
        <w:t>№ 127/13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w:t>
      </w:r>
    </w:p>
    <w:bookmarkStart w:name="z1" w:id="0"/>
    <w:p>
      <w:pPr>
        <w:spacing w:after="0"/>
        <w:ind w:left="0"/>
        <w:jc w:val="both"/>
      </w:pPr>
      <w:r>
        <w:rPr>
          <w:rFonts w:ascii="Times New Roman"/>
          <w:b w:val="false"/>
          <w:i w:val="false"/>
          <w:color w:val="000000"/>
          <w:sz w:val="28"/>
        </w:rPr>
        <w:t>
      Павлодар облыстының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облысы мәслихатының "Павлодар облысында жерлеудің және зираттарды күтіп ұстау ісін ұйымдастырудың қағидалары туралы" 2019 жылғы 27 қыркүйектегі № 381/34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 Әділет министрлігінде № 6563 болып тіркелген) келесі өзгерістер енгізілсін: </w:t>
      </w:r>
    </w:p>
    <w:bookmarkEnd w:id="1"/>
    <w:bookmarkStart w:name="z3" w:id="2"/>
    <w:p>
      <w:pPr>
        <w:spacing w:after="0"/>
        <w:ind w:left="0"/>
        <w:jc w:val="both"/>
      </w:pPr>
      <w:r>
        <w:rPr>
          <w:rFonts w:ascii="Times New Roman"/>
          <w:b w:val="false"/>
          <w:i w:val="false"/>
          <w:color w:val="000000"/>
          <w:sz w:val="28"/>
        </w:rPr>
        <w:t>
      көрсетілген шешімен бекітілген Павлодар облысында жерлеудің және зираттарды күтіп ұстау ісін ұйымдастырудың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Ережеде мынадай негізгі ұғымдар пайдаланылады:</w:t>
      </w:r>
    </w:p>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Есепке алу журналында мынадай мәліметтер қамтылады:</w:t>
      </w:r>
    </w:p>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И.Теренченко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