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97c1" w14:textId="8dc9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жылдарға арналған Екібастұз қаласы бойынша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2023 жылғы 20 маусымдағы № 29/4 шешімі. Күші жойылды - Павлодар облысы Екібастұз қалалық мәслихатының 2024 жылғы 28 қарашадағы № 202/24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28.11.2024 </w:t>
      </w:r>
      <w:r>
        <w:rPr>
          <w:rFonts w:ascii="Times New Roman"/>
          <w:b w:val="false"/>
          <w:i w:val="false"/>
          <w:color w:val="ff0000"/>
          <w:sz w:val="28"/>
        </w:rPr>
        <w:t>№ 202/24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xml:space="preserve">
      1. 2023-2024 жылдарға арналған Екібастұз қаласы бойынша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аграрлық секторды дамыту және жер қатынастары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 мәслихатының</w:t>
            </w:r>
            <w:r>
              <w:br/>
            </w:r>
            <w:r>
              <w:rPr>
                <w:rFonts w:ascii="Times New Roman"/>
                <w:b w:val="false"/>
                <w:i w:val="false"/>
                <w:color w:val="000000"/>
                <w:sz w:val="20"/>
              </w:rPr>
              <w:t>2023 жылғы 20 маусымдағы</w:t>
            </w:r>
            <w:r>
              <w:br/>
            </w:r>
            <w:r>
              <w:rPr>
                <w:rFonts w:ascii="Times New Roman"/>
                <w:b w:val="false"/>
                <w:i w:val="false"/>
                <w:color w:val="000000"/>
                <w:sz w:val="20"/>
              </w:rPr>
              <w:t xml:space="preserve">№ 29/4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Екібастұз қаласы бойынша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1. Осы Екібастұз қаласы бойынша жайылымдарды басқару және оларды пайдалану жөніндегі жоспар (бұдан әрі-жоспар)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 орынбасарының бұйрығына сәйкес әзірленді – "Жайылымдарды ұтымды пайдалану қағидаларын бекіту туралы" Қазақстан Республикасы Ауыл шаруашылығы министрінің 2017.04.24 №173 </w:t>
      </w:r>
      <w:r>
        <w:rPr>
          <w:rFonts w:ascii="Times New Roman"/>
          <w:b w:val="false"/>
          <w:i w:val="false"/>
          <w:color w:val="000000"/>
          <w:sz w:val="28"/>
        </w:rPr>
        <w:t>бұйрығымен</w:t>
      </w:r>
      <w:r>
        <w:rPr>
          <w:rFonts w:ascii="Times New Roman"/>
          <w:b w:val="false"/>
          <w:i w:val="false"/>
          <w:color w:val="000000"/>
          <w:sz w:val="28"/>
        </w:rPr>
        <w:t xml:space="preserve"> бекітілген; "Жайылымдардың жалпы алаңына жүктеменің шекті жол берілетін нормасын бекіту туралы" Қазақстан Республикасы Ауыл шаруашылығы министрінің 14.04.2015 жылғы №3-3/332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2. Жоспар жайылымдарды геоботаникалық тексерудің жай-күйі туралы мәліметтерді, ветеринариялық-санитариялық объектілер туралы мәліметтерді, олардың иелері көрсетілген ауыл шаруашылығы жануарлары басының саны туралы деректерді ескере отырып қабылданды – жайылымдық жайылымдарда жаю үшін ауыл шаруашылығы жануарларының түрлері мен жыныстық-жас топтары бойынша қалыптастырылған жайылым пайдаланушылардың, жеке және (немесе) заңды тұлғалардың, жайылым пайдаланушылардың, жеке және (немесе)заңды тұлғалардың, малды айдауға арналған сервитуттар туралы мәліметтер және мемлекеттік органдар, жеке және (немесе) заңды тұлғалар.</w:t>
      </w:r>
    </w:p>
    <w:p>
      <w:pPr>
        <w:spacing w:after="0"/>
        <w:ind w:left="0"/>
        <w:jc w:val="both"/>
      </w:pPr>
      <w:r>
        <w:rPr>
          <w:rFonts w:ascii="Times New Roman"/>
          <w:b w:val="false"/>
          <w:i w:val="false"/>
          <w:color w:val="000000"/>
          <w:sz w:val="28"/>
        </w:rPr>
        <w:t>
      3.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p>
      <w:pPr>
        <w:spacing w:after="0"/>
        <w:ind w:left="0"/>
        <w:jc w:val="both"/>
      </w:pPr>
      <w:r>
        <w:rPr>
          <w:rFonts w:ascii="Times New Roman"/>
          <w:b w:val="false"/>
          <w:i w:val="false"/>
          <w:color w:val="000000"/>
          <w:sz w:val="28"/>
        </w:rPr>
        <w:t>
      4. Жоспар мыналарды қамтиды:</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құқық белгілейтін құжаттар негізінде Екібастұз қаласының аумағында жайылымдардың жер санаттары, жер учаскелерінің меншік иелері және жер пайдаланушылар бөлінісінде орналасу схемасын (картасын) қамтиды.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жайылымдардың, оның ішінде жайылымдық инфрақұрылымның маусымдық объектілерінің сыртқы және ішкі шекаралары мен алаңдары белгіленген карта.</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4-қосымшаға</w:t>
      </w:r>
      <w:r>
        <w:rPr>
          <w:rFonts w:ascii="Times New Roman"/>
          <w:b w:val="false"/>
          <w:i w:val="false"/>
          <w:color w:val="000000"/>
          <w:sz w:val="28"/>
        </w:rPr>
        <w:t xml:space="preserve"> сәйкес суды тұтыну нормасына сәйкес жасалған жайылымдық пайдаланушылардың су көздеріне (көлдерге, өзендерге, копонь тоғандарына, суару немесе суландыру арналарына, құбырлы немесе шахталық құдықтарға) қол жеткізу схемасы.</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жайылымдары жоқ жеке және (немесе) заңды тұлғалардың ауыл шаруашылығы жануарларының мал басын орналастыру үшін жайылымдарды қайта бөлу схемасы.</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ауыл, ауылдық округ жанында орналасқан жайылымдармен қамтамасыз етілмеген жеке және (немесе) заңды тұлғалардың шалғайдағы жайылымдарында ауыл шаруашылығы жануарларының мал басын орналастыру схемасын қамтиды.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7-қосымшаға</w:t>
      </w:r>
      <w:r>
        <w:rPr>
          <w:rFonts w:ascii="Times New Roman"/>
          <w:b w:val="false"/>
          <w:i w:val="false"/>
          <w:color w:val="000000"/>
          <w:sz w:val="28"/>
        </w:rPr>
        <w:t xml:space="preserve"> сәйкес ауыл шаруашылығы жануарларын жаю мен жүріп-тұрудың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xml:space="preserve">
      8) осы жоспарға </w:t>
      </w:r>
      <w:r>
        <w:rPr>
          <w:rFonts w:ascii="Times New Roman"/>
          <w:b w:val="false"/>
          <w:i w:val="false"/>
          <w:color w:val="000000"/>
          <w:sz w:val="28"/>
        </w:rPr>
        <w:t>7-1-қосымшаға</w:t>
      </w:r>
      <w:r>
        <w:rPr>
          <w:rFonts w:ascii="Times New Roman"/>
          <w:b w:val="false"/>
          <w:i w:val="false"/>
          <w:color w:val="000000"/>
          <w:sz w:val="28"/>
        </w:rPr>
        <w:t xml:space="preserve"> сәйкес жергілікті жағдайлар мен ерекшеліктерге байланысты жеке ауланың ауыл шаруашылығы жануарларын жаю үшін халықтың мұқтаждықтарын қанағаттандыру үшін қажетті жайылымдардың сыртқы және ішкі шекаралары мен алаңдары белгіленген карта.</w:t>
      </w:r>
    </w:p>
    <w:p>
      <w:pPr>
        <w:spacing w:after="0"/>
        <w:ind w:left="0"/>
        <w:jc w:val="both"/>
      </w:pPr>
      <w:r>
        <w:rPr>
          <w:rFonts w:ascii="Times New Roman"/>
          <w:b w:val="false"/>
          <w:i w:val="false"/>
          <w:color w:val="000000"/>
          <w:sz w:val="28"/>
        </w:rPr>
        <w:t>
      5. Топырақ типі бойынша олар қауырсынды селеулі бетеге-ксерофитті-әр түрлі шөпті, селеулі-бетеге-жусанды жамылғысы бар орташа құрғақ далаға жатады, құрылымы әлсіз және қарашірік заттарға кедей. Өңірде құрғақ жайылымдар жоқ. Жайылымдық жерлердің орташа өнімділігі 3,6 центнерді құрайды. Жайылымдық жем қоры 170-180 күнге созылатын жайылым кезеңінде пайдаланылады. Солнечный және Шідерті кенттерінде ауыл шаруашылығы мақсатындағы жерлер жоқ. Гидрографиялық тұрғыдан ауданның қолайлы жағдайы бар, өйткені қала аумағы арқылы Шідерті, Өленті өзендері, Қ. Сәтбаев атындағы канал ағып өтеді, Әулиекөл, Бәсентиін, Елемес, Майсор, Қарасор және т.б. көлдер бар.</w:t>
      </w:r>
    </w:p>
    <w:p>
      <w:pPr>
        <w:spacing w:after="0"/>
        <w:ind w:left="0"/>
        <w:jc w:val="both"/>
      </w:pPr>
      <w:r>
        <w:rPr>
          <w:rFonts w:ascii="Times New Roman"/>
          <w:b w:val="false"/>
          <w:i w:val="false"/>
          <w:color w:val="000000"/>
          <w:sz w:val="28"/>
        </w:rPr>
        <w:t>
      7. Қаланың жалпы жер көлемі 1 887 602,7 гектар, оның ішінде: жайылымдық жерлер – 1 671 464,7 гектар. Жер санаттары бойынша: ауыл шаруашылығы мақсатындағы жерлер – 897 054, 9 гектар; елді мекендердің жерлері – 212 048,6 гектар; өнеркәсіп, көлік, байланыс, ғарыш қызметі, қорғаныс, ұлттық қауіпсіздік және өзге де ауыл шаруашылығы мақсатындағы жерлер – 66 445,5 гектар; орман қорының жерлері – 1 333,0 гектар; су қорының жерлері – 17 832,0 гектар; қордағы жерлер-693 088,07 гектар. Екібастұз қаласында жер балансының деректері бойынша жалпы ауданы 895110,5 гектар болатын 393 ауыл шаруашылығы құрылымдары бар, оның ішінде жайылымдар 830943,6 гектар. Ауыл шаруашылығы құрылымдарының жалпы санынан жайылымдар: жеке меншікте - 1237 гектар алаңда 10 учаске; жер пайдалануда - 829706,6 гектар алаңда 383 учаске бар.</w:t>
      </w:r>
    </w:p>
    <w:p>
      <w:pPr>
        <w:spacing w:after="0"/>
        <w:ind w:left="0"/>
        <w:jc w:val="both"/>
      </w:pPr>
      <w:r>
        <w:rPr>
          <w:rFonts w:ascii="Times New Roman"/>
          <w:b w:val="false"/>
          <w:i w:val="false"/>
          <w:color w:val="000000"/>
          <w:sz w:val="28"/>
        </w:rPr>
        <w:t>
      8. Қала аумағындағы жайылымдардың негізгі пайдаланушылары ауыл шаруашылығы құрылымдары болып табылады. Елді мекендердегі халықтың малы бөлінген жерлерде жайылады.</w:t>
      </w:r>
    </w:p>
    <w:p>
      <w:pPr>
        <w:spacing w:after="0"/>
        <w:ind w:left="0"/>
        <w:jc w:val="both"/>
      </w:pPr>
      <w:r>
        <w:rPr>
          <w:rFonts w:ascii="Times New Roman"/>
          <w:b w:val="false"/>
          <w:i w:val="false"/>
          <w:color w:val="000000"/>
          <w:sz w:val="28"/>
        </w:rPr>
        <w:t>
      9. Қала аумағындағы ауыл шаруашылығы жануарларының саны. Өңір бойынша барлығы 33 ұсақ мал отары, 58 ірі қара мал, 59 жылқы табыны, 21 аралас гурт бар. Шалғайдағы жайылымдарда жаю үшін ауыл шаруашылығы жануарларының басы қалыптастырылмаған. 2023 жылғы 1 қаңтардағы жағдай бойынша ақпаратқа сәйкес Екібастұз өңірі бойынша ӨИС порталына сәйкес тіркелген (Бас):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10. Қалада 43 ветеринариялық-санитариялық объект жұмыс істейді, оның ішінде қаза тапқан жануарлардың мәйіттерін кәдеге жарату үшін 16 типтік мал қорымы, 12 ветеринариялық пункт, 2 сою алаңы, 7 сібір жарасы қорымы, 2 Ет комбинаты бар.</w:t>
      </w:r>
    </w:p>
    <w:p>
      <w:pPr>
        <w:spacing w:after="0"/>
        <w:ind w:left="0"/>
        <w:jc w:val="both"/>
      </w:pPr>
      <w:r>
        <w:rPr>
          <w:rFonts w:ascii="Times New Roman"/>
          <w:b w:val="false"/>
          <w:i w:val="false"/>
          <w:color w:val="000000"/>
          <w:sz w:val="28"/>
        </w:rPr>
        <w:t>
      11. Екібастұз қаласында мал айдау үшін сервитуттар орнатылмаған.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 xml:space="preserve">2023 - 2024 жылдарға арналған </w:t>
            </w:r>
            <w:r>
              <w:br/>
            </w:r>
            <w:r>
              <w:rPr>
                <w:rFonts w:ascii="Times New Roman"/>
                <w:b w:val="false"/>
                <w:i w:val="false"/>
                <w:color w:val="000000"/>
                <w:sz w:val="20"/>
              </w:rPr>
              <w:t>жайылымдар және оларды пайдалану бойынша басқару жоспарына</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Құқық белгілейтін құжаттар негізінде Екібастұз қаласының аумағында жайылымдардың жер санаттары, жер учаскелерінің меншік иелері және жер пайдаланушылар бөлінісінде орналасу схемасы (картасы)</w:t>
      </w:r>
    </w:p>
    <w:p>
      <w:pPr>
        <w:spacing w:after="0"/>
        <w:ind w:left="0"/>
        <w:jc w:val="left"/>
      </w:pPr>
      <w:r>
        <w:br/>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 және оларды пайдалану</w:t>
            </w:r>
            <w:r>
              <w:br/>
            </w:r>
            <w:r>
              <w:rPr>
                <w:rFonts w:ascii="Times New Roman"/>
                <w:b w:val="false"/>
                <w:i w:val="false"/>
                <w:color w:val="000000"/>
                <w:sz w:val="20"/>
              </w:rPr>
              <w:t>бойынша басқару жоспарына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Жайылым айналымының қолайлы схемалары</w:t>
      </w:r>
    </w:p>
    <w:p>
      <w:pPr>
        <w:spacing w:after="0"/>
        <w:ind w:left="0"/>
        <w:jc w:val="left"/>
      </w:pPr>
      <w:r>
        <w:br/>
      </w:r>
    </w:p>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 және оларды пайдалану</w:t>
            </w:r>
            <w:r>
              <w:br/>
            </w:r>
            <w:r>
              <w:rPr>
                <w:rFonts w:ascii="Times New Roman"/>
                <w:b w:val="false"/>
                <w:i w:val="false"/>
                <w:color w:val="000000"/>
                <w:sz w:val="20"/>
              </w:rPr>
              <w:t>бойынша басқару жоспарына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w:t>
      </w:r>
    </w:p>
    <w:p>
      <w:pPr>
        <w:spacing w:after="0"/>
        <w:ind w:left="0"/>
        <w:jc w:val="left"/>
      </w:pPr>
      <w:r>
        <w:br/>
      </w:r>
    </w:p>
    <w:p>
      <w:pPr>
        <w:spacing w:after="0"/>
        <w:ind w:left="0"/>
        <w:jc w:val="both"/>
      </w:pPr>
      <w:r>
        <w:drawing>
          <wp:inline distT="0" distB="0" distL="0" distR="0">
            <wp:extent cx="7810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 және оларды пайдалану</w:t>
            </w:r>
            <w:r>
              <w:br/>
            </w:r>
            <w:r>
              <w:rPr>
                <w:rFonts w:ascii="Times New Roman"/>
                <w:b w:val="false"/>
                <w:i w:val="false"/>
                <w:color w:val="000000"/>
                <w:sz w:val="20"/>
              </w:rPr>
              <w:t>бойынша басқару жоспарына</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Жайылымдық пайдаланушылардың су көздеріне (көлдерге, өзендерге, тоғандарға, қазуға, суару немесе суландыру арналарына, құбырлы немесе шахта құдықтарына) қол жеткізу схемасы суды тұтыну нормасына сәйкес жасалған</w:t>
      </w:r>
    </w:p>
    <w:p>
      <w:pPr>
        <w:spacing w:after="0"/>
        <w:ind w:left="0"/>
        <w:jc w:val="left"/>
      </w:pPr>
      <w:r>
        <w:br/>
      </w:r>
    </w:p>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 және оларды пайдалану</w:t>
            </w:r>
            <w:r>
              <w:br/>
            </w:r>
            <w:r>
              <w:rPr>
                <w:rFonts w:ascii="Times New Roman"/>
                <w:b w:val="false"/>
                <w:i w:val="false"/>
                <w:color w:val="000000"/>
                <w:sz w:val="20"/>
              </w:rPr>
              <w:t>бойынша басқару жоспарына</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басын орналастыру және оны берілетін жайылымдарға ауыстыру үшін жайылымдарды қайта бөлу схемасы</w:t>
      </w:r>
    </w:p>
    <w:p>
      <w:pPr>
        <w:spacing w:after="0"/>
        <w:ind w:left="0"/>
        <w:jc w:val="left"/>
      </w:pPr>
      <w:r>
        <w:br/>
      </w:r>
    </w:p>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 және оларды пайдалану</w:t>
            </w:r>
            <w:r>
              <w:br/>
            </w:r>
            <w:r>
              <w:rPr>
                <w:rFonts w:ascii="Times New Roman"/>
                <w:b w:val="false"/>
                <w:i w:val="false"/>
                <w:color w:val="000000"/>
                <w:sz w:val="20"/>
              </w:rPr>
              <w:t>бойынша басқару жоспарына</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басын орналастыру және оны берілетін жайылымдарға ауыстыру үшін жайылымдарды қайта бөлу схемасы</w:t>
      </w:r>
    </w:p>
    <w:p>
      <w:pPr>
        <w:spacing w:after="0"/>
        <w:ind w:left="0"/>
        <w:jc w:val="left"/>
      </w:pP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 және оларды пайдалану</w:t>
            </w:r>
            <w:r>
              <w:br/>
            </w:r>
            <w:r>
              <w:rPr>
                <w:rFonts w:ascii="Times New Roman"/>
                <w:b w:val="false"/>
                <w:i w:val="false"/>
                <w:color w:val="000000"/>
                <w:sz w:val="20"/>
              </w:rPr>
              <w:t>бойынша басқару жоспарына</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Ауыл шаруашылығы жануарларын жаю мен олардың қозғалуының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ауылдың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жайылымға айдау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жануарларды айдап әкету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ауылыдық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Сарыкамысский сельский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 Құдық сельский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ауылыдқ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поселкесі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Шидерті поселкесі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 және оларды пайдалану</w:t>
            </w:r>
            <w:r>
              <w:br/>
            </w:r>
            <w:r>
              <w:rPr>
                <w:rFonts w:ascii="Times New Roman"/>
                <w:b w:val="false"/>
                <w:i w:val="false"/>
                <w:color w:val="000000"/>
                <w:sz w:val="20"/>
              </w:rPr>
              <w:t>бойынша басқару жоспарына</w:t>
            </w:r>
            <w:r>
              <w:br/>
            </w:r>
            <w:r>
              <w:rPr>
                <w:rFonts w:ascii="Times New Roman"/>
                <w:b w:val="false"/>
                <w:i w:val="false"/>
                <w:color w:val="000000"/>
                <w:sz w:val="20"/>
              </w:rPr>
              <w:t>7-1 қосымша</w:t>
            </w:r>
          </w:p>
        </w:tc>
      </w:tr>
    </w:tbl>
    <w:p>
      <w:pPr>
        <w:spacing w:after="0"/>
        <w:ind w:left="0"/>
        <w:jc w:val="left"/>
      </w:pPr>
      <w:r>
        <w:rPr>
          <w:rFonts w:ascii="Times New Roman"/>
          <w:b/>
          <w:i w:val="false"/>
          <w:color w:val="000000"/>
        </w:rPr>
        <w:t xml:space="preserve"> Жергілікті жағдайлар мен ерекшеліктерге байланысты жеке ауланың ауыл шаруашылығы жануарларын жаю үшін халықтың мұқтаждықтарын қанағаттандыру үшін қажетті жайылымдардың сыртқы және ішкі шекаралары мен алаңдарын белгілейтін карта</w:t>
      </w:r>
    </w:p>
    <w:p>
      <w:pPr>
        <w:spacing w:after="0"/>
        <w:ind w:left="0"/>
        <w:jc w:val="left"/>
      </w:pPr>
      <w:r>
        <w:br/>
      </w:r>
    </w:p>
    <w:p>
      <w:pPr>
        <w:spacing w:after="0"/>
        <w:ind w:left="0"/>
        <w:jc w:val="both"/>
      </w:pPr>
      <w:r>
        <w:drawing>
          <wp:inline distT="0" distB="0" distL="0" distR="0">
            <wp:extent cx="7810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