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832d" w14:textId="59b8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Екібастұз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77/8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Екібастұз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Екібастұз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77/8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Екібастұз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Екібастұз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Екібастұз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Екібастұз ауылдық округінің аумағы ауылдар бойынша (Төртүй ауылы, Мыңтомар ауылы, Қаражар ауылы, Ақши ауылы, Тай ауылы, Көксиыр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Екібастұз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Екібастұз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Екібастұз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Екібастұз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Екібастұз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