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51f9" w14:textId="2ab5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Мүткенов ауылдық округінің аумағында бөлек жергілікті қоғамдастық жиындарын және жергілікті қоғамдастық жиынына қатысу үшін ауыл тұрғындары өкілдерінің сандық құрамын өткізу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91/12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Мүткенов ауылдық округі аумағында бөлек жергілікті қоғамдастық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Ақтоғай ауданы Мүткенов ауылдық округінің әрбір ауылы тұрғындары өкілдерінің сандық құрамы ауыл тұрғындарының жалпы санынан 1 (бір) % (пайыз), бірақ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91/12</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Ақтоғай ауданы Мүткенов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 Мүткенов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Ақтоғай ауданы Мүткенов ауылдық округінің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Ақтоғай ауданы Мүткенов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Мүткенов ауылдық округінің аумағы учаскелерге бөлінеді: Мүткенов ауылы, Жанатап ауылы, Жанабет ауылы, Естай ауылы, Әбжан ауылы.</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xml:space="preserve">
      5. Мүткенов ауылдық округінің әкімі ауыл шегінде жергілікті қоғамдастықтың бөлек жиынын шақырады және өткізуді ұйымдастырады. </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 шақырудың уақыты, орны және талқыланатын мәселелер туралы Жергілікті қоғамдастықтың халқын Мүткенов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Мүткенов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Мүткенов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Мүткенов ауылдық округі әкімінің аппаратына тіркеу үшін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